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30, 2023</w:t>
      </w:r>
    </w:p>
    <w:p>
      <w:pPr>
        <w:spacing w:after="0" w:line="27" w:lineRule="exact"/>
        <w:rPr>
          <w:sz w:val="24"/>
          <w:szCs w:val="24"/>
          <w:color w:val="auto"/>
        </w:rPr>
      </w:pPr>
    </w:p>
    <w:p>
      <w:pPr>
        <w:ind w:left="91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QuantaSing Group Limited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7720" w:type="dxa"/>
            <w:vAlign w:val="bottom"/>
            <w:gridSpan w:val="5"/>
          </w:tcPr>
          <w:p>
            <w:pPr>
              <w:jc w:val="center"/>
              <w:ind w:right="2200"/>
              <w:spacing w:after="0"/>
              <w:rPr>
                <w:sz w:val="20"/>
                <w:szCs w:val="20"/>
                <w:color w:val="auto"/>
              </w:rPr>
            </w:pPr>
            <w:r>
              <w:rPr>
                <w:rFonts w:ascii="Arial" w:cs="Arial" w:eastAsia="Arial" w:hAnsi="Arial"/>
                <w:sz w:val="18"/>
                <w:szCs w:val="18"/>
                <w:b w:val="1"/>
                <w:bCs w:val="1"/>
                <w:color w:val="auto"/>
                <w:w w:val="90"/>
              </w:rPr>
              <w:t>Cayman Islands</w:t>
            </w:r>
          </w:p>
        </w:tc>
        <w:tc>
          <w:tcPr>
            <w:tcW w:w="35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552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520" w:type="dxa"/>
            <w:vAlign w:val="bottom"/>
            <w:tcBorders>
              <w:top w:val="single" w:sz="8" w:color="auto"/>
            </w:tcBorders>
          </w:tcPr>
          <w:p>
            <w:pPr>
              <w:jc w:val="center"/>
              <w:ind w:right="18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7720" w:type="dxa"/>
            <w:vAlign w:val="bottom"/>
            <w:gridSpan w:val="5"/>
          </w:tcPr>
          <w:p>
            <w:pPr>
              <w:jc w:val="center"/>
              <w:ind w:right="2200"/>
              <w:spacing w:after="0"/>
              <w:rPr>
                <w:sz w:val="20"/>
                <w:szCs w:val="20"/>
                <w:color w:val="auto"/>
              </w:rPr>
            </w:pPr>
            <w:r>
              <w:rPr>
                <w:rFonts w:ascii="Arial" w:cs="Arial" w:eastAsia="Arial" w:hAnsi="Arial"/>
                <w:sz w:val="18"/>
                <w:szCs w:val="18"/>
                <w:color w:val="auto"/>
                <w:w w:val="92"/>
              </w:rPr>
              <w:t>incorporation or organization)</w:t>
            </w:r>
          </w:p>
        </w:tc>
        <w:tc>
          <w:tcPr>
            <w:tcW w:w="3520" w:type="dxa"/>
            <w:vAlign w:val="bottom"/>
          </w:tcPr>
          <w:p>
            <w:pPr>
              <w:jc w:val="center"/>
              <w:ind w:right="18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720" w:type="dxa"/>
            <w:vAlign w:val="bottom"/>
            <w:gridSpan w:val="5"/>
          </w:tcPr>
          <w:p>
            <w:pPr>
              <w:jc w:val="center"/>
              <w:ind w:left="3430"/>
              <w:spacing w:after="0"/>
              <w:rPr>
                <w:sz w:val="20"/>
                <w:szCs w:val="20"/>
                <w:color w:val="auto"/>
              </w:rPr>
            </w:pPr>
            <w:r>
              <w:rPr>
                <w:rFonts w:ascii="Arial" w:cs="Arial" w:eastAsia="Arial" w:hAnsi="Arial"/>
                <w:sz w:val="18"/>
                <w:szCs w:val="18"/>
                <w:b w:val="1"/>
                <w:bCs w:val="1"/>
                <w:color w:val="auto"/>
                <w:w w:val="89"/>
              </w:rPr>
              <w:t>2/F, Building D, Ronsin Technology Center</w:t>
            </w:r>
          </w:p>
        </w:tc>
        <w:tc>
          <w:tcPr>
            <w:tcW w:w="3520" w:type="dxa"/>
            <w:vAlign w:val="bottom"/>
          </w:tcPr>
          <w:p>
            <w:pPr>
              <w:spacing w:after="0"/>
              <w:rPr>
                <w:sz w:val="24"/>
                <w:szCs w:val="24"/>
                <w:color w:val="auto"/>
              </w:rPr>
            </w:pPr>
          </w:p>
        </w:tc>
      </w:tr>
      <w:tr>
        <w:trPr>
          <w:trHeight w:val="216"/>
        </w:trPr>
        <w:tc>
          <w:tcPr>
            <w:tcW w:w="4220" w:type="dxa"/>
            <w:vAlign w:val="bottom"/>
          </w:tcPr>
          <w:p>
            <w:pPr>
              <w:spacing w:after="0"/>
              <w:rPr>
                <w:sz w:val="18"/>
                <w:szCs w:val="18"/>
                <w:color w:val="auto"/>
              </w:rPr>
            </w:pPr>
          </w:p>
        </w:tc>
        <w:tc>
          <w:tcPr>
            <w:tcW w:w="3500" w:type="dxa"/>
            <w:vAlign w:val="bottom"/>
            <w:gridSpan w:val="4"/>
          </w:tcPr>
          <w:p>
            <w:pPr>
              <w:jc w:val="center"/>
              <w:ind w:right="700"/>
              <w:spacing w:after="0"/>
              <w:rPr>
                <w:sz w:val="20"/>
                <w:szCs w:val="20"/>
                <w:color w:val="auto"/>
              </w:rPr>
            </w:pPr>
            <w:r>
              <w:rPr>
                <w:rFonts w:ascii="Arial" w:cs="Arial" w:eastAsia="Arial" w:hAnsi="Arial"/>
                <w:sz w:val="18"/>
                <w:szCs w:val="18"/>
                <w:b w:val="1"/>
                <w:bCs w:val="1"/>
                <w:color w:val="auto"/>
                <w:w w:val="91"/>
              </w:rPr>
              <w:t>Chaoyang District, Beijing 100102</w:t>
            </w: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3500" w:type="dxa"/>
            <w:vAlign w:val="bottom"/>
            <w:gridSpan w:val="4"/>
          </w:tcPr>
          <w:p>
            <w:pPr>
              <w:jc w:val="center"/>
              <w:ind w:right="700"/>
              <w:spacing w:after="0"/>
              <w:rPr>
                <w:sz w:val="20"/>
                <w:szCs w:val="20"/>
                <w:color w:val="auto"/>
              </w:rPr>
            </w:pPr>
            <w:r>
              <w:rPr>
                <w:rFonts w:ascii="Arial" w:cs="Arial" w:eastAsia="Arial" w:hAnsi="Arial"/>
                <w:sz w:val="18"/>
                <w:szCs w:val="18"/>
                <w:b w:val="1"/>
                <w:bCs w:val="1"/>
                <w:color w:val="auto"/>
                <w:w w:val="89"/>
              </w:rPr>
              <w:t>People’s Republic of China</w:t>
            </w:r>
          </w:p>
        </w:tc>
        <w:tc>
          <w:tcPr>
            <w:tcW w:w="3520" w:type="dxa"/>
            <w:vAlign w:val="bottom"/>
          </w:tcPr>
          <w:p>
            <w:pPr>
              <w:spacing w:after="0"/>
              <w:rPr>
                <w:sz w:val="18"/>
                <w:szCs w:val="18"/>
                <w:color w:val="auto"/>
              </w:rPr>
            </w:pPr>
          </w:p>
        </w:tc>
      </w:tr>
      <w:tr>
        <w:trPr>
          <w:trHeight w:val="220"/>
        </w:trPr>
        <w:tc>
          <w:tcPr>
            <w:tcW w:w="7020" w:type="dxa"/>
            <w:vAlign w:val="bottom"/>
            <w:gridSpan w:val="4"/>
          </w:tcPr>
          <w:p>
            <w:pPr>
              <w:jc w:val="center"/>
              <w:ind w:left="4150"/>
              <w:spacing w:after="0"/>
              <w:rPr>
                <w:sz w:val="20"/>
                <w:szCs w:val="20"/>
                <w:color w:val="auto"/>
              </w:rPr>
            </w:pPr>
            <w:r>
              <w:rPr>
                <w:rFonts w:ascii="Arial" w:cs="Arial" w:eastAsia="Arial" w:hAnsi="Arial"/>
                <w:sz w:val="18"/>
                <w:szCs w:val="18"/>
                <w:b w:val="1"/>
                <w:bCs w:val="1"/>
                <w:color w:val="auto"/>
                <w:w w:val="90"/>
              </w:rPr>
              <w:t>+86-10 6493-7857</w:t>
            </w:r>
          </w:p>
        </w:tc>
        <w:tc>
          <w:tcPr>
            <w:tcW w:w="70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230"/>
        </w:trPr>
        <w:tc>
          <w:tcPr>
            <w:tcW w:w="7720" w:type="dxa"/>
            <w:vAlign w:val="bottom"/>
            <w:gridSpan w:val="5"/>
          </w:tcPr>
          <w:p>
            <w:pPr>
              <w:jc w:val="center"/>
              <w:ind w:left="3430"/>
              <w:spacing w:after="0"/>
              <w:rPr>
                <w:sz w:val="20"/>
                <w:szCs w:val="20"/>
                <w:color w:val="auto"/>
              </w:rPr>
            </w:pPr>
            <w:r>
              <w:rPr>
                <w:rFonts w:ascii="Arial" w:cs="Arial" w:eastAsia="Arial" w:hAnsi="Arial"/>
                <w:sz w:val="18"/>
                <w:szCs w:val="18"/>
                <w:color w:val="auto"/>
                <w:w w:val="92"/>
              </w:rPr>
              <w:t>(Address of Principal Executive Offices and Zip Code)</w:t>
            </w:r>
          </w:p>
        </w:tc>
        <w:tc>
          <w:tcPr>
            <w:tcW w:w="3520" w:type="dxa"/>
            <w:vAlign w:val="bottom"/>
          </w:tcPr>
          <w:p>
            <w:pPr>
              <w:spacing w:after="0"/>
              <w:rPr>
                <w:sz w:val="20"/>
                <w:szCs w:val="20"/>
                <w:color w:val="auto"/>
              </w:rPr>
            </w:pPr>
          </w:p>
        </w:tc>
      </w:tr>
      <w:tr>
        <w:trPr>
          <w:trHeight w:val="223"/>
        </w:trPr>
        <w:tc>
          <w:tcPr>
            <w:tcW w:w="4220" w:type="dxa"/>
            <w:vAlign w:val="bottom"/>
          </w:tcPr>
          <w:p>
            <w:pPr>
              <w:spacing w:after="0"/>
              <w:rPr>
                <w:sz w:val="19"/>
                <w:szCs w:val="19"/>
                <w:color w:val="auto"/>
              </w:rPr>
            </w:pPr>
          </w:p>
        </w:tc>
        <w:tc>
          <w:tcPr>
            <w:tcW w:w="2800" w:type="dxa"/>
            <w:vAlign w:val="bottom"/>
            <w:tcBorders>
              <w:bottom w:val="single" w:sz="8" w:color="auto"/>
            </w:tcBorders>
            <w:gridSpan w:val="3"/>
          </w:tcPr>
          <w:p>
            <w:pPr>
              <w:spacing w:after="0"/>
              <w:rPr>
                <w:sz w:val="19"/>
                <w:szCs w:val="19"/>
                <w:color w:val="auto"/>
              </w:rPr>
            </w:pPr>
          </w:p>
        </w:tc>
        <w:tc>
          <w:tcPr>
            <w:tcW w:w="70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27"/>
        </w:trPr>
        <w:tc>
          <w:tcPr>
            <w:tcW w:w="4220" w:type="dxa"/>
            <w:vAlign w:val="bottom"/>
          </w:tcPr>
          <w:p>
            <w:pPr>
              <w:spacing w:after="0"/>
              <w:rPr>
                <w:sz w:val="24"/>
                <w:szCs w:val="24"/>
                <w:color w:val="auto"/>
              </w:rPr>
            </w:pPr>
          </w:p>
        </w:tc>
        <w:tc>
          <w:tcPr>
            <w:tcW w:w="3500" w:type="dxa"/>
            <w:vAlign w:val="bottom"/>
            <w:gridSpan w:val="4"/>
          </w:tcPr>
          <w:p>
            <w:pPr>
              <w:jc w:val="center"/>
              <w:ind w:right="700"/>
              <w:spacing w:after="0"/>
              <w:rPr>
                <w:sz w:val="20"/>
                <w:szCs w:val="20"/>
                <w:color w:val="auto"/>
              </w:rPr>
            </w:pPr>
            <w:r>
              <w:rPr>
                <w:rFonts w:ascii="Arial" w:cs="Arial" w:eastAsia="Arial" w:hAnsi="Arial"/>
                <w:sz w:val="18"/>
                <w:szCs w:val="18"/>
                <w:b w:val="1"/>
                <w:bCs w:val="1"/>
                <w:color w:val="auto"/>
                <w:w w:val="90"/>
              </w:rPr>
              <w:t>2018 Share Incentive Plan</w:t>
            </w:r>
          </w:p>
        </w:tc>
        <w:tc>
          <w:tcPr>
            <w:tcW w:w="3520" w:type="dxa"/>
            <w:vAlign w:val="bottom"/>
          </w:tcPr>
          <w:p>
            <w:pPr>
              <w:spacing w:after="0"/>
              <w:rPr>
                <w:sz w:val="24"/>
                <w:szCs w:val="24"/>
                <w:color w:val="auto"/>
              </w:rPr>
            </w:pPr>
          </w:p>
        </w:tc>
      </w:tr>
      <w:tr>
        <w:trPr>
          <w:trHeight w:val="220"/>
        </w:trPr>
        <w:tc>
          <w:tcPr>
            <w:tcW w:w="4220" w:type="dxa"/>
            <w:vAlign w:val="bottom"/>
          </w:tcPr>
          <w:p>
            <w:pPr>
              <w:spacing w:after="0"/>
              <w:rPr>
                <w:sz w:val="19"/>
                <w:szCs w:val="19"/>
                <w:color w:val="auto"/>
              </w:rPr>
            </w:pPr>
          </w:p>
        </w:tc>
        <w:tc>
          <w:tcPr>
            <w:tcW w:w="3500" w:type="dxa"/>
            <w:vAlign w:val="bottom"/>
            <w:gridSpan w:val="4"/>
          </w:tcPr>
          <w:p>
            <w:pPr>
              <w:jc w:val="center"/>
              <w:ind w:right="700"/>
              <w:spacing w:after="0"/>
              <w:rPr>
                <w:sz w:val="20"/>
                <w:szCs w:val="20"/>
                <w:color w:val="auto"/>
              </w:rPr>
            </w:pPr>
            <w:r>
              <w:rPr>
                <w:rFonts w:ascii="Arial" w:cs="Arial" w:eastAsia="Arial" w:hAnsi="Arial"/>
                <w:sz w:val="18"/>
                <w:szCs w:val="18"/>
                <w:b w:val="1"/>
                <w:bCs w:val="1"/>
                <w:color w:val="auto"/>
                <w:w w:val="90"/>
              </w:rPr>
              <w:t>2021 Share Incentive Plan</w:t>
            </w:r>
          </w:p>
        </w:tc>
        <w:tc>
          <w:tcPr>
            <w:tcW w:w="3520" w:type="dxa"/>
            <w:vAlign w:val="bottom"/>
          </w:tcPr>
          <w:p>
            <w:pPr>
              <w:spacing w:after="0"/>
              <w:rPr>
                <w:sz w:val="19"/>
                <w:szCs w:val="19"/>
                <w:color w:val="auto"/>
              </w:rPr>
            </w:pPr>
          </w:p>
        </w:tc>
      </w:tr>
      <w:tr>
        <w:trPr>
          <w:trHeight w:val="230"/>
        </w:trPr>
        <w:tc>
          <w:tcPr>
            <w:tcW w:w="4220" w:type="dxa"/>
            <w:vAlign w:val="bottom"/>
          </w:tcPr>
          <w:p>
            <w:pPr>
              <w:spacing w:after="0"/>
              <w:rPr>
                <w:sz w:val="20"/>
                <w:szCs w:val="20"/>
                <w:color w:val="auto"/>
              </w:rPr>
            </w:pPr>
          </w:p>
        </w:tc>
        <w:tc>
          <w:tcPr>
            <w:tcW w:w="3500" w:type="dxa"/>
            <w:vAlign w:val="bottom"/>
            <w:gridSpan w:val="4"/>
          </w:tcPr>
          <w:p>
            <w:pPr>
              <w:jc w:val="center"/>
              <w:ind w:right="700"/>
              <w:spacing w:after="0"/>
              <w:rPr>
                <w:sz w:val="20"/>
                <w:szCs w:val="20"/>
                <w:color w:val="auto"/>
              </w:rPr>
            </w:pPr>
            <w:r>
              <w:rPr>
                <w:rFonts w:ascii="Arial" w:cs="Arial" w:eastAsia="Arial" w:hAnsi="Arial"/>
                <w:sz w:val="18"/>
                <w:szCs w:val="18"/>
                <w:color w:val="auto"/>
                <w:w w:val="94"/>
              </w:rPr>
              <w:t>(Full title of the Plans)</w:t>
            </w:r>
          </w:p>
        </w:tc>
        <w:tc>
          <w:tcPr>
            <w:tcW w:w="3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10168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7"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5460" w:type="dxa"/>
            <w:vAlign w:val="bottom"/>
          </w:tcPr>
          <w:p>
            <w:pPr>
              <w:ind w:left="420"/>
              <w:spacing w:after="0"/>
              <w:rPr>
                <w:sz w:val="20"/>
                <w:szCs w:val="20"/>
                <w:color w:val="auto"/>
              </w:rPr>
            </w:pPr>
            <w:r>
              <w:rPr>
                <w:rFonts w:ascii="Arial" w:cs="Arial" w:eastAsia="Arial" w:hAnsi="Arial"/>
                <w:sz w:val="18"/>
                <w:szCs w:val="18"/>
                <w:b w:val="1"/>
                <w:bCs w:val="1"/>
                <w:color w:val="auto"/>
              </w:rPr>
              <w:t>Copies to:</w:t>
            </w:r>
          </w:p>
        </w:tc>
      </w:tr>
      <w:tr>
        <w:trPr>
          <w:trHeight w:val="414"/>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Peng Li</w:t>
            </w:r>
          </w:p>
        </w:tc>
        <w:tc>
          <w:tcPr>
            <w:tcW w:w="5460" w:type="dxa"/>
            <w:vAlign w:val="bottom"/>
          </w:tcPr>
          <w:p>
            <w:pPr>
              <w:jc w:val="center"/>
              <w:ind w:left="1810"/>
              <w:spacing w:after="0"/>
              <w:rPr>
                <w:sz w:val="20"/>
                <w:szCs w:val="20"/>
                <w:color w:val="auto"/>
              </w:rPr>
            </w:pPr>
            <w:r>
              <w:rPr>
                <w:rFonts w:ascii="Arial" w:cs="Arial" w:eastAsia="Arial" w:hAnsi="Arial"/>
                <w:sz w:val="18"/>
                <w:szCs w:val="18"/>
                <w:b w:val="1"/>
                <w:bCs w:val="1"/>
                <w:color w:val="auto"/>
                <w:w w:val="90"/>
              </w:rPr>
              <w:t>Dan Ouyang, Esq.</w:t>
            </w:r>
          </w:p>
        </w:tc>
      </w:tr>
      <w:tr>
        <w:trPr>
          <w:trHeight w:val="216"/>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Chief Executive Officer</w:t>
            </w:r>
          </w:p>
        </w:tc>
        <w:tc>
          <w:tcPr>
            <w:tcW w:w="5460" w:type="dxa"/>
            <w:vAlign w:val="bottom"/>
          </w:tcPr>
          <w:p>
            <w:pPr>
              <w:jc w:val="center"/>
              <w:ind w:left="1790"/>
              <w:spacing w:after="0"/>
              <w:rPr>
                <w:sz w:val="20"/>
                <w:szCs w:val="20"/>
                <w:color w:val="auto"/>
              </w:rPr>
            </w:pPr>
            <w:r>
              <w:rPr>
                <w:rFonts w:ascii="Arial" w:cs="Arial" w:eastAsia="Arial" w:hAnsi="Arial"/>
                <w:sz w:val="18"/>
                <w:szCs w:val="18"/>
                <w:b w:val="1"/>
                <w:bCs w:val="1"/>
                <w:color w:val="auto"/>
                <w:w w:val="91"/>
              </w:rPr>
              <w:t>Wilson Sonsini Goodrich &amp; Rosati</w:t>
            </w:r>
          </w:p>
        </w:tc>
      </w:tr>
      <w:tr>
        <w:trPr>
          <w:trHeight w:val="216"/>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2/F, Building D, Ronsin Technology Center</w:t>
            </w:r>
          </w:p>
        </w:tc>
        <w:tc>
          <w:tcPr>
            <w:tcW w:w="5460" w:type="dxa"/>
            <w:vAlign w:val="bottom"/>
          </w:tcPr>
          <w:p>
            <w:pPr>
              <w:jc w:val="center"/>
              <w:ind w:left="1790"/>
              <w:spacing w:after="0"/>
              <w:rPr>
                <w:sz w:val="20"/>
                <w:szCs w:val="20"/>
                <w:color w:val="auto"/>
              </w:rPr>
            </w:pPr>
            <w:r>
              <w:rPr>
                <w:rFonts w:ascii="Arial" w:cs="Arial" w:eastAsia="Arial" w:hAnsi="Arial"/>
                <w:sz w:val="18"/>
                <w:szCs w:val="18"/>
                <w:b w:val="1"/>
                <w:bCs w:val="1"/>
                <w:color w:val="auto"/>
                <w:w w:val="89"/>
              </w:rPr>
              <w:t>Professional Corporation</w:t>
            </w:r>
          </w:p>
        </w:tc>
      </w:tr>
      <w:tr>
        <w:trPr>
          <w:trHeight w:val="216"/>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Chaoyang District, Beijing 100102</w:t>
            </w:r>
          </w:p>
        </w:tc>
        <w:tc>
          <w:tcPr>
            <w:tcW w:w="5460" w:type="dxa"/>
            <w:vAlign w:val="bottom"/>
          </w:tcPr>
          <w:p>
            <w:pPr>
              <w:jc w:val="center"/>
              <w:ind w:left="1790"/>
              <w:spacing w:after="0"/>
              <w:rPr>
                <w:sz w:val="20"/>
                <w:szCs w:val="20"/>
                <w:color w:val="auto"/>
              </w:rPr>
            </w:pPr>
            <w:r>
              <w:rPr>
                <w:rFonts w:ascii="Arial" w:cs="Arial" w:eastAsia="Arial" w:hAnsi="Arial"/>
                <w:sz w:val="18"/>
                <w:szCs w:val="18"/>
                <w:b w:val="1"/>
                <w:bCs w:val="1"/>
                <w:color w:val="auto"/>
                <w:w w:val="92"/>
              </w:rPr>
              <w:t>Unit 2901, 29F, Tower C, Beijing Yintai Centre</w:t>
            </w:r>
          </w:p>
        </w:tc>
      </w:tr>
      <w:tr>
        <w:trPr>
          <w:trHeight w:val="216"/>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People’s Republic of China</w:t>
            </w:r>
          </w:p>
        </w:tc>
        <w:tc>
          <w:tcPr>
            <w:tcW w:w="5460" w:type="dxa"/>
            <w:vAlign w:val="bottom"/>
          </w:tcPr>
          <w:p>
            <w:pPr>
              <w:jc w:val="center"/>
              <w:ind w:left="1790"/>
              <w:spacing w:after="0"/>
              <w:rPr>
                <w:sz w:val="20"/>
                <w:szCs w:val="20"/>
                <w:color w:val="auto"/>
              </w:rPr>
            </w:pPr>
            <w:r>
              <w:rPr>
                <w:rFonts w:ascii="Arial" w:cs="Arial" w:eastAsia="Arial" w:hAnsi="Arial"/>
                <w:sz w:val="18"/>
                <w:szCs w:val="18"/>
                <w:b w:val="1"/>
                <w:bCs w:val="1"/>
                <w:color w:val="auto"/>
                <w:w w:val="88"/>
              </w:rPr>
              <w:t>No. 2 Jianguomenwai Avenue</w:t>
            </w:r>
          </w:p>
        </w:tc>
      </w:tr>
      <w:tr>
        <w:trPr>
          <w:trHeight w:val="216"/>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+86-10 6493-7857</w:t>
            </w:r>
          </w:p>
        </w:tc>
        <w:tc>
          <w:tcPr>
            <w:tcW w:w="5460" w:type="dxa"/>
            <w:vAlign w:val="bottom"/>
          </w:tcPr>
          <w:p>
            <w:pPr>
              <w:jc w:val="center"/>
              <w:ind w:left="1790"/>
              <w:spacing w:after="0"/>
              <w:rPr>
                <w:sz w:val="20"/>
                <w:szCs w:val="20"/>
                <w:color w:val="auto"/>
              </w:rPr>
            </w:pPr>
            <w:r>
              <w:rPr>
                <w:rFonts w:ascii="Arial" w:cs="Arial" w:eastAsia="Arial" w:hAnsi="Arial"/>
                <w:sz w:val="18"/>
                <w:szCs w:val="18"/>
                <w:b w:val="1"/>
                <w:bCs w:val="1"/>
                <w:color w:val="auto"/>
                <w:w w:val="90"/>
              </w:rPr>
              <w:t>Chaoyang District, Beijing 100022</w:t>
            </w:r>
          </w:p>
        </w:tc>
      </w:tr>
      <w:tr>
        <w:trPr>
          <w:trHeight w:val="216"/>
        </w:trPr>
        <w:tc>
          <w:tcPr>
            <w:tcW w:w="3700" w:type="dxa"/>
            <w:vAlign w:val="bottom"/>
          </w:tcPr>
          <w:p>
            <w:pPr>
              <w:spacing w:after="0"/>
              <w:rPr>
                <w:sz w:val="18"/>
                <w:szCs w:val="18"/>
                <w:color w:val="auto"/>
              </w:rPr>
            </w:pPr>
          </w:p>
        </w:tc>
        <w:tc>
          <w:tcPr>
            <w:tcW w:w="5460" w:type="dxa"/>
            <w:vAlign w:val="bottom"/>
          </w:tcPr>
          <w:p>
            <w:pPr>
              <w:jc w:val="center"/>
              <w:ind w:left="1810"/>
              <w:spacing w:after="0"/>
              <w:rPr>
                <w:sz w:val="20"/>
                <w:szCs w:val="20"/>
                <w:color w:val="auto"/>
              </w:rPr>
            </w:pPr>
            <w:r>
              <w:rPr>
                <w:rFonts w:ascii="Arial" w:cs="Arial" w:eastAsia="Arial" w:hAnsi="Arial"/>
                <w:sz w:val="18"/>
                <w:szCs w:val="18"/>
                <w:b w:val="1"/>
                <w:bCs w:val="1"/>
                <w:color w:val="auto"/>
                <w:w w:val="89"/>
              </w:rPr>
              <w:t>People’s Republic of China</w:t>
            </w:r>
          </w:p>
        </w:tc>
      </w:tr>
      <w:tr>
        <w:trPr>
          <w:trHeight w:val="234"/>
        </w:trPr>
        <w:tc>
          <w:tcPr>
            <w:tcW w:w="3700" w:type="dxa"/>
            <w:vAlign w:val="bottom"/>
          </w:tcPr>
          <w:p>
            <w:pPr>
              <w:spacing w:after="0"/>
              <w:rPr>
                <w:sz w:val="20"/>
                <w:szCs w:val="20"/>
                <w:color w:val="auto"/>
              </w:rPr>
            </w:pPr>
          </w:p>
        </w:tc>
        <w:tc>
          <w:tcPr>
            <w:tcW w:w="5460" w:type="dxa"/>
            <w:vAlign w:val="bottom"/>
          </w:tcPr>
          <w:p>
            <w:pPr>
              <w:jc w:val="center"/>
              <w:ind w:left="1810"/>
              <w:spacing w:after="0"/>
              <w:rPr>
                <w:sz w:val="20"/>
                <w:szCs w:val="20"/>
                <w:color w:val="auto"/>
              </w:rPr>
            </w:pPr>
            <w:r>
              <w:rPr>
                <w:rFonts w:ascii="Arial" w:cs="Arial" w:eastAsia="Arial" w:hAnsi="Arial"/>
                <w:sz w:val="18"/>
                <w:szCs w:val="18"/>
                <w:b w:val="1"/>
                <w:bCs w:val="1"/>
                <w:color w:val="auto"/>
                <w:w w:val="91"/>
              </w:rPr>
              <w:t>(86) 10-6529-8300</w:t>
            </w:r>
          </w:p>
        </w:tc>
      </w:tr>
    </w:tbl>
    <w:p>
      <w:pPr>
        <w:spacing w:after="0" w:line="202"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62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180" w:type="dxa"/>
            <w:vAlign w:val="bottom"/>
          </w:tcPr>
          <w:p>
            <w:pPr>
              <w:ind w:left="262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pacing w:after="0" w:line="225"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229" w:lineRule="exact"/>
        <w:rPr>
          <w:sz w:val="20"/>
          <w:szCs w:val="20"/>
          <w:color w:val="auto"/>
        </w:rPr>
      </w:pPr>
    </w:p>
    <w:p>
      <w:pPr>
        <w:jc w:val="both"/>
        <w:ind w:left="340" w:hanging="332"/>
        <w:spacing w:after="0" w:line="275"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Information required by Part I to be contained in the Section 10(a) prospectus is omitted from this registration statement in accordance with Rule 428 under the Securities Act and the Note to Part I of Form S-8.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The documents containing information specified in this Part I will be separately provided to the participants covered by the Plans, as specified by Rule 428(b)(1) under the Securities Act.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previously filed by the Registrant with the Commission are incorporated by reference herein:</w:t>
      </w:r>
    </w:p>
    <w:p>
      <w:pPr>
        <w:spacing w:after="0" w:line="225" w:lineRule="exact"/>
        <w:rPr>
          <w:sz w:val="20"/>
          <w:szCs w:val="20"/>
          <w:color w:val="auto"/>
        </w:rPr>
      </w:pPr>
    </w:p>
    <w:p>
      <w:pPr>
        <w:ind w:left="680" w:right="140" w:hanging="330"/>
        <w:spacing w:after="0" w:line="308" w:lineRule="auto"/>
        <w:tabs>
          <w:tab w:leader="none" w:pos="68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Registrant’s prospectus filed with the Commission on January 25, 2023 pursuant to </w:t>
      </w:r>
      <w:hyperlink r:id="rId17">
        <w:r>
          <w:rPr>
            <w:rFonts w:ascii="Arial" w:cs="Arial" w:eastAsia="Arial" w:hAnsi="Arial"/>
            <w:sz w:val="17"/>
            <w:szCs w:val="17"/>
            <w:u w:val="single" w:color="auto"/>
            <w:color w:val="0000EE"/>
          </w:rPr>
          <w:t>Rule 424(b)(4)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under the Securities Act, which includes audited financial statements as of and for the fiscal years ended June 30, 2021 and 2022 (File No. 333-268907); and</w:t>
      </w:r>
    </w:p>
    <w:p>
      <w:pPr>
        <w:spacing w:after="0" w:line="146" w:lineRule="exact"/>
        <w:rPr>
          <w:rFonts w:ascii="Arial" w:cs="Arial" w:eastAsia="Arial" w:hAnsi="Arial"/>
          <w:sz w:val="17"/>
          <w:szCs w:val="17"/>
          <w:color w:val="auto"/>
        </w:rPr>
      </w:pPr>
    </w:p>
    <w:p>
      <w:pPr>
        <w:ind w:left="680" w:right="60" w:hanging="330"/>
        <w:spacing w:after="0" w:line="257"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Class A ordinary shares incorporated by reference in the Registrant’s registration statement on </w:t>
      </w:r>
      <w:hyperlink r:id="rId18">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001-41590) filed with the Commission on January 12, 2023 pursuant to Section 12 of the Exchange Act, which incorporates by reference the description of the Registrant’s Class A ordinary shares set forth in the Registrant’s registration statement on </w:t>
      </w:r>
      <w:hyperlink r:id="rId19">
        <w:r>
          <w:rPr>
            <w:rFonts w:ascii="Arial" w:cs="Arial" w:eastAsia="Arial" w:hAnsi="Arial"/>
            <w:sz w:val="18"/>
            <w:szCs w:val="18"/>
            <w:u w:val="single" w:color="auto"/>
            <w:color w:val="0000EE"/>
          </w:rPr>
          <w:t>Form F-1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333-268907), initially filed with the Commission on December 20, 2022, as amended, including any amendment and report subsequently filed for the purpose of updating that description.</w:t>
      </w:r>
    </w:p>
    <w:p>
      <w:pPr>
        <w:spacing w:after="0" w:line="188" w:lineRule="exact"/>
        <w:rPr>
          <w:rFonts w:ascii="Arial" w:cs="Arial" w:eastAsia="Arial" w:hAnsi="Arial"/>
          <w:sz w:val="18"/>
          <w:szCs w:val="18"/>
          <w:color w:val="auto"/>
        </w:rPr>
      </w:pPr>
    </w:p>
    <w:p>
      <w:pPr>
        <w:ind w:firstLine="324"/>
        <w:spacing w:after="0" w:line="291" w:lineRule="auto"/>
        <w:rPr>
          <w:sz w:val="20"/>
          <w:szCs w:val="20"/>
          <w:color w:val="auto"/>
        </w:rPr>
      </w:pPr>
      <w:r>
        <w:rPr>
          <w:rFonts w:ascii="Arial" w:cs="Arial" w:eastAsia="Arial" w:hAnsi="Arial"/>
          <w:sz w:val="16"/>
          <w:szCs w:val="16"/>
          <w:color w:val="auto"/>
        </w:rPr>
        <w:t>All documents subsequently filed by the Registrant pursuant to Sections 13(a), 13(c), 14 or 15(d) of the Exchange Act,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date of filing of such documents. Any statement in a document incorporated or deemed to be incorporated by reference in this registration statement will be deemed to be modified or superseded to the extent that a statement contained in this registration statement or in any other subsequently filed document that also is or is deemed to be incorporated by reference modifies or supersedes such statement. Any such statement so modified or superseded will not be deemed, except as so modified or superseded, to be a part of this registration statement.</w:t>
      </w:r>
    </w:p>
    <w:p>
      <w:pPr>
        <w:spacing w:after="0" w:line="16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rFonts w:ascii="Arial" w:cs="Arial" w:eastAsia="Arial" w:hAnsi="Arial"/>
          <w:sz w:val="18"/>
          <w:szCs w:val="18"/>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rFonts w:ascii="Arial" w:cs="Arial" w:eastAsia="Arial" w:hAnsi="Arial"/>
          <w:sz w:val="18"/>
          <w:szCs w:val="18"/>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The Registrant’s currently effective second amended and restated memorandum and articles of association provides that officers and directors for the time being and from time to time of the Registrant (but not including its auditors), and their personal representatives, shall be indemnified and secured harmless against all actions, proceedings, costs, charges, expenses, losses, damages, or liabilities incurred or sustained in their capacities as such unless such actions, proceedings, costs, charges, expenses, losses or, damages or liabilities arise from the dishonesty, willful default or fraud of such directors or officers, in or about the conduct of the Registrant’s business or affairs (including as a result of any mistake of judgment) or in the execution or discharge of their duties, powers, authorities or discretions, including without prejudice to the generality of the foregoing, any costs, expenses, losses or liabilities incurred by such directors or officers in defending (whether successfully or otherwise) any civil proceedings concerning the Registrant or its affairs in any court whether in the Cayman Islands or elsewhere.</w:t>
      </w:r>
    </w:p>
    <w:p>
      <w:pPr>
        <w:spacing w:after="0" w:line="16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Pursuant to the indemnification agreements, the form of which was filed as Exhibit 10.3 to the Registrant’s registration statement on Form F-1, as amended (File No. 333-268907), the Registrant has agreed to indemnify its directors and executive officers against all liabilities and expenses incurred by such persons in connection with claims made by reason of their being such a director or officer to the fullest extent permitted by law with certain limited exceptions.</w:t>
      </w:r>
    </w:p>
    <w:p>
      <w:pPr>
        <w:spacing w:after="0" w:line="18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Registrant also maintains a directors and officers liability insurance policy for its directors and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Exhibits listed on the accompanying Exhibit Index are filed as a part of, or incorporated by reference into, this registration statement (see the Exhibit Index attached 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300" w:right="100" w:hanging="320"/>
        <w:spacing w:after="0" w:line="263" w:lineRule="auto"/>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p>
      <w:pPr>
        <w:ind w:left="968" w:right="240" w:hanging="320"/>
        <w:spacing w:after="0" w:line="277" w:lineRule="auto"/>
        <w:tabs>
          <w:tab w:leader="none" w:pos="96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that information in the registration statement;</w:t>
      </w:r>
    </w:p>
    <w:p>
      <w:pPr>
        <w:spacing w:after="0" w:line="170" w:lineRule="exact"/>
        <w:rPr>
          <w:sz w:val="20"/>
          <w:szCs w:val="20"/>
          <w:color w:val="auto"/>
        </w:rPr>
      </w:pPr>
    </w:p>
    <w:p>
      <w:pPr>
        <w:ind w:left="648" w:right="8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in this registration statement;</w:t>
      </w:r>
    </w:p>
    <w:p>
      <w:pPr>
        <w:spacing w:after="0" w:line="184" w:lineRule="exact"/>
        <w:rPr>
          <w:sz w:val="20"/>
          <w:szCs w:val="20"/>
          <w:color w:val="auto"/>
        </w:rPr>
      </w:pPr>
    </w:p>
    <w:p>
      <w:pPr>
        <w:jc w:val="both"/>
        <w:ind w:left="648" w:right="100" w:hanging="324"/>
        <w:spacing w:after="0" w:line="263" w:lineRule="auto"/>
        <w:tabs>
          <w:tab w:leader="none" w:pos="648"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183" w:lineRule="exact"/>
        <w:rPr>
          <w:rFonts w:ascii="Arial" w:cs="Arial" w:eastAsia="Arial" w:hAnsi="Arial"/>
          <w:sz w:val="18"/>
          <w:szCs w:val="18"/>
          <w:color w:val="auto"/>
        </w:rPr>
      </w:pPr>
    </w:p>
    <w:p>
      <w:pPr>
        <w:ind w:left="648" w:right="560" w:hanging="324"/>
        <w:spacing w:after="0" w:line="277" w:lineRule="auto"/>
        <w:tabs>
          <w:tab w:leader="none" w:pos="648"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28" w:hanging="328"/>
        <w:spacing w:after="0" w:line="25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7" w:lineRule="exact"/>
        <w:rPr>
          <w:rFonts w:ascii="Arial" w:cs="Arial" w:eastAsia="Arial" w:hAnsi="Arial"/>
          <w:sz w:val="18"/>
          <w:szCs w:val="18"/>
          <w:color w:val="auto"/>
        </w:rPr>
      </w:pPr>
    </w:p>
    <w:p>
      <w:pPr>
        <w:ind w:left="328" w:right="60" w:hanging="328"/>
        <w:spacing w:after="0" w:line="271" w:lineRule="auto"/>
        <w:tabs>
          <w:tab w:leader="none" w:pos="328"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9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240" w:type="dxa"/>
            <w:vAlign w:val="bottom"/>
            <w:gridSpan w:val="15"/>
          </w:tcPr>
          <w:p>
            <w:pPr>
              <w:ind w:left="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500" w:type="dxa"/>
            <w:vAlign w:val="bottom"/>
            <w:gridSpan w:val="13"/>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00" w:type="dxa"/>
            <w:vAlign w:val="bottom"/>
            <w:tcBorders>
              <w:top w:val="single" w:sz="8" w:color="auto"/>
              <w:bottom w:val="single" w:sz="8" w:color="0000EE"/>
            </w:tcBorders>
            <w:gridSpan w:val="17"/>
            <w:shd w:val="clear" w:color="auto" w:fill="CCEEFF"/>
          </w:tcPr>
          <w:p>
            <w:pPr>
              <w:spacing w:after="0" w:line="176" w:lineRule="exact"/>
              <w:rPr>
                <w:rFonts w:ascii="Arial" w:cs="Arial" w:eastAsia="Arial" w:hAnsi="Arial"/>
                <w:sz w:val="18"/>
                <w:szCs w:val="18"/>
                <w:color w:val="0000EE"/>
                <w:w w:val="90"/>
              </w:rPr>
            </w:pPr>
            <w:hyperlink r:id="rId23">
              <w:r>
                <w:rPr>
                  <w:rFonts w:ascii="Arial" w:cs="Arial" w:eastAsia="Arial" w:hAnsi="Arial"/>
                  <w:sz w:val="18"/>
                  <w:szCs w:val="18"/>
                  <w:color w:val="0000EE"/>
                  <w:w w:val="90"/>
                </w:rPr>
                <w:t>Second Amended and Restated Memorandum and Articles of Association of the Registrant (incorporated by reference to Exhibit 3.2 to the</w:t>
              </w:r>
            </w:hyperlink>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580" w:type="dxa"/>
            <w:vAlign w:val="bottom"/>
            <w:tcBorders>
              <w:bottom w:val="single" w:sz="8" w:color="0000EE"/>
            </w:tcBorders>
            <w:gridSpan w:val="13"/>
            <w:shd w:val="clear" w:color="auto" w:fill="CCEEFF"/>
          </w:tcPr>
          <w:p>
            <w:pPr>
              <w:spacing w:after="0" w:line="196"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Registrant’s registration statement on Form F-1 (File No. 333-268907) initially filed with the Commission on December 20, 2022, as</w:t>
              </w:r>
            </w:hyperlink>
          </w:p>
        </w:tc>
        <w:tc>
          <w:tcPr>
            <w:tcW w:w="520" w:type="dxa"/>
            <w:vAlign w:val="bottom"/>
            <w:tcBorders>
              <w:bottom w:val="single" w:sz="8" w:color="CCEEFF"/>
            </w:tcBorders>
            <w:gridSpan w:val="5"/>
            <w:shd w:val="clear" w:color="auto" w:fill="CCEEFF"/>
          </w:tcPr>
          <w:p>
            <w:pPr>
              <w:spacing w:after="0"/>
              <w:rPr>
                <w:sz w:val="17"/>
                <w:szCs w:val="17"/>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6"/>
              </w:rPr>
            </w:pPr>
            <w:hyperlink r:id="rId23">
              <w:r>
                <w:rPr>
                  <w:rFonts w:ascii="Arial" w:cs="Arial" w:eastAsia="Arial" w:hAnsi="Arial"/>
                  <w:sz w:val="18"/>
                  <w:szCs w:val="18"/>
                  <w:color w:val="0000EE"/>
                  <w:w w:val="86"/>
                </w:rPr>
                <w:t>amended)</w:t>
              </w:r>
            </w:hyperlink>
          </w:p>
        </w:tc>
        <w:tc>
          <w:tcPr>
            <w:tcW w:w="9380" w:type="dxa"/>
            <w:vAlign w:val="bottom"/>
            <w:tcBorders>
              <w:bottom w:val="single" w:sz="8" w:color="CCEEFF"/>
            </w:tcBorders>
            <w:gridSpan w:val="17"/>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5"/>
                <w:szCs w:val="15"/>
                <w:color w:val="auto"/>
              </w:rPr>
            </w:pPr>
          </w:p>
        </w:tc>
        <w:tc>
          <w:tcPr>
            <w:tcW w:w="9640" w:type="dxa"/>
            <w:vAlign w:val="bottom"/>
            <w:tcBorders>
              <w:bottom w:val="single" w:sz="8" w:color="0000EE"/>
            </w:tcBorders>
            <w:gridSpan w:val="14"/>
          </w:tcPr>
          <w:p>
            <w:pPr>
              <w:spacing w:after="0" w:line="176" w:lineRule="exact"/>
              <w:rPr>
                <w:rFonts w:ascii="Arial" w:cs="Arial" w:eastAsia="Arial" w:hAnsi="Arial"/>
                <w:sz w:val="18"/>
                <w:szCs w:val="18"/>
                <w:color w:val="0000EE"/>
                <w:w w:val="90"/>
              </w:rPr>
            </w:pPr>
            <w:hyperlink r:id="rId24">
              <w:r>
                <w:rPr>
                  <w:rFonts w:ascii="Arial" w:cs="Arial" w:eastAsia="Arial" w:hAnsi="Arial"/>
                  <w:sz w:val="18"/>
                  <w:szCs w:val="18"/>
                  <w:color w:val="0000EE"/>
                  <w:w w:val="90"/>
                </w:rPr>
                <w:t>Registrant’s Specimen Certificate for Class A ordinary shares (incorporated by reference to Exhibit 4.2 to the Registrant’s registration</w:t>
              </w:r>
            </w:hyperlink>
          </w:p>
        </w:tc>
        <w:tc>
          <w:tcPr>
            <w:tcW w:w="460" w:type="dxa"/>
            <w:vAlign w:val="bottom"/>
            <w:gridSpan w:val="4"/>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statement on Form F-1 (File No. 333-268907) initially filed with the Commission on December 20, 2022, as amended)</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17"/>
                <w:szCs w:val="17"/>
                <w:color w:val="auto"/>
              </w:rPr>
            </w:pPr>
          </w:p>
        </w:tc>
        <w:tc>
          <w:tcPr>
            <w:tcW w:w="56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Registrant’s Specimen American Depositary Receipt (included in Exhibit 4.4)</w:t>
              </w:r>
            </w:hyperlink>
          </w:p>
        </w:tc>
        <w:tc>
          <w:tcPr>
            <w:tcW w:w="4480" w:type="dxa"/>
            <w:vAlign w:val="bottom"/>
            <w:tcBorders>
              <w:bottom w:val="single" w:sz="8" w:color="CCEEFF"/>
            </w:tcBorders>
            <w:gridSpan w:val="11"/>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5"/>
                <w:szCs w:val="15"/>
                <w:color w:val="auto"/>
              </w:rPr>
            </w:pPr>
          </w:p>
        </w:tc>
        <w:tc>
          <w:tcPr>
            <w:tcW w:w="10100" w:type="dxa"/>
            <w:vAlign w:val="bottom"/>
            <w:gridSpan w:val="18"/>
          </w:tcPr>
          <w:p>
            <w:pPr>
              <w:spacing w:after="0" w:line="176" w:lineRule="exact"/>
              <w:rPr>
                <w:rFonts w:ascii="Arial" w:cs="Arial" w:eastAsia="Arial" w:hAnsi="Arial"/>
                <w:sz w:val="18"/>
                <w:szCs w:val="18"/>
                <w:color w:val="0000EE"/>
                <w:w w:val="95"/>
              </w:rPr>
            </w:pPr>
            <w:hyperlink r:id="rId25">
              <w:r>
                <w:rPr>
                  <w:rFonts w:ascii="Arial" w:cs="Arial" w:eastAsia="Arial" w:hAnsi="Arial"/>
                  <w:sz w:val="18"/>
                  <w:szCs w:val="18"/>
                  <w:color w:val="0000EE"/>
                  <w:w w:val="95"/>
                </w:rPr>
                <w:t>Deposit Agreement by and among the Registrant, the depositary and the owners and holders of American Depositary Shares issued</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thereunder (incorporated by reference to Exhibit 4.3 to the Registrant’s registration statement on Form F-1 (File No. 333-268907) initially</w:t>
              </w:r>
            </w:hyperlink>
          </w:p>
        </w:tc>
        <w:tc>
          <w:tcPr>
            <w:tcW w:w="16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8"/>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filed with the Commission on December 20, 2022, as amended)</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5"/>
                <w:szCs w:val="15"/>
                <w:color w:val="auto"/>
              </w:rPr>
            </w:pPr>
          </w:p>
        </w:tc>
        <w:tc>
          <w:tcPr>
            <w:tcW w:w="10100" w:type="dxa"/>
            <w:vAlign w:val="bottom"/>
            <w:gridSpan w:val="18"/>
            <w:shd w:val="clear" w:color="auto" w:fill="CCEEFF"/>
          </w:tcPr>
          <w:p>
            <w:pPr>
              <w:spacing w:after="0" w:line="176" w:lineRule="exact"/>
              <w:rPr>
                <w:rFonts w:ascii="Arial" w:cs="Arial" w:eastAsia="Arial" w:hAnsi="Arial"/>
                <w:sz w:val="18"/>
                <w:szCs w:val="18"/>
                <w:color w:val="0000EE"/>
                <w:w w:val="93"/>
              </w:rPr>
            </w:pPr>
            <w:hyperlink r:id="rId26">
              <w:r>
                <w:rPr>
                  <w:rFonts w:ascii="Arial" w:cs="Arial" w:eastAsia="Arial" w:hAnsi="Arial"/>
                  <w:sz w:val="18"/>
                  <w:szCs w:val="18"/>
                  <w:color w:val="0000EE"/>
                  <w:w w:val="93"/>
                </w:rPr>
                <w:t>The Amended and Restated Shareholders Agreement between the Registrant and other parties thereto dated as of December 20, 2022</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96" w:lineRule="exact"/>
              <w:rPr>
                <w:rFonts w:ascii="Arial" w:cs="Arial" w:eastAsia="Arial" w:hAnsi="Arial"/>
                <w:sz w:val="18"/>
                <w:szCs w:val="18"/>
                <w:color w:val="0000EE"/>
                <w:w w:val="94"/>
              </w:rPr>
            </w:pPr>
            <w:hyperlink r:id="rId26">
              <w:r>
                <w:rPr>
                  <w:rFonts w:ascii="Arial" w:cs="Arial" w:eastAsia="Arial" w:hAnsi="Arial"/>
                  <w:sz w:val="18"/>
                  <w:szCs w:val="18"/>
                  <w:color w:val="0000EE"/>
                  <w:w w:val="94"/>
                </w:rPr>
                <w:t>(incorporated by reference to Exhibit 4.4 to the Registrant’s registration statement on Form F-1 (File No. 333-268907) initially filed with</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6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88"/>
              </w:rPr>
            </w:pPr>
            <w:hyperlink r:id="rId26">
              <w:r>
                <w:rPr>
                  <w:rFonts w:ascii="Arial" w:cs="Arial" w:eastAsia="Arial" w:hAnsi="Arial"/>
                  <w:sz w:val="18"/>
                  <w:szCs w:val="18"/>
                  <w:color w:val="0000EE"/>
                  <w:w w:val="88"/>
                </w:rPr>
                <w:t>the Commission on December 20, 2022, as amended)</w:t>
              </w:r>
            </w:hyperlink>
          </w:p>
        </w:tc>
        <w:tc>
          <w:tcPr>
            <w:tcW w:w="6000" w:type="dxa"/>
            <w:vAlign w:val="bottom"/>
            <w:tcBorders>
              <w:top w:val="single" w:sz="8" w:color="0000EE"/>
              <w:bottom w:val="single" w:sz="8" w:color="CCEEFF"/>
            </w:tcBorders>
            <w:gridSpan w:val="12"/>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3"/>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5"/>
                <w:szCs w:val="15"/>
                <w:color w:val="auto"/>
              </w:rPr>
            </w:pPr>
          </w:p>
        </w:tc>
        <w:tc>
          <w:tcPr>
            <w:tcW w:w="10100" w:type="dxa"/>
            <w:vAlign w:val="bottom"/>
            <w:gridSpan w:val="18"/>
          </w:tcPr>
          <w:p>
            <w:pPr>
              <w:spacing w:after="0" w:line="176" w:lineRule="exact"/>
              <w:rPr>
                <w:sz w:val="20"/>
                <w:szCs w:val="20"/>
                <w:color w:val="auto"/>
              </w:rPr>
            </w:pPr>
            <w:r>
              <w:rPr>
                <w:rFonts w:ascii="Arial" w:cs="Arial" w:eastAsia="Arial" w:hAnsi="Arial"/>
                <w:sz w:val="18"/>
                <w:szCs w:val="18"/>
                <w:color w:val="0000EE"/>
              </w:rPr>
              <w:t>Opinion of Maples and Calder (Hong Kong) LLP, regarding the validity of the Class A ordinary shares being registered</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5"/>
                <w:szCs w:val="15"/>
                <w:color w:val="auto"/>
              </w:rPr>
            </w:pPr>
          </w:p>
        </w:tc>
        <w:tc>
          <w:tcPr>
            <w:tcW w:w="10100" w:type="dxa"/>
            <w:vAlign w:val="bottom"/>
            <w:gridSpan w:val="18"/>
            <w:shd w:val="clear" w:color="auto" w:fill="CCEEFF"/>
          </w:tcPr>
          <w:p>
            <w:pPr>
              <w:spacing w:after="0" w:line="176" w:lineRule="exact"/>
              <w:rPr>
                <w:rFonts w:ascii="Arial" w:cs="Arial" w:eastAsia="Arial" w:hAnsi="Arial"/>
                <w:sz w:val="18"/>
                <w:szCs w:val="18"/>
                <w:color w:val="0000EE"/>
                <w:w w:val="92"/>
              </w:rPr>
            </w:pPr>
            <w:hyperlink r:id="rId27">
              <w:r>
                <w:rPr>
                  <w:rFonts w:ascii="Arial" w:cs="Arial" w:eastAsia="Arial" w:hAnsi="Arial"/>
                  <w:sz w:val="18"/>
                  <w:szCs w:val="18"/>
                  <w:color w:val="0000EE"/>
                  <w:w w:val="92"/>
                </w:rPr>
                <w:t>2018 Share Incentive Plan (incorporated by reference to Exhibit 10.1 to the Registrant’s registration statement on Form F-1 (File No. 333-</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94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268907) initially filed with the Commission on December 20, 2022, as amended)</w:t>
              </w:r>
            </w:hyperlink>
          </w:p>
        </w:tc>
        <w:tc>
          <w:tcPr>
            <w:tcW w:w="160" w:type="dxa"/>
            <w:vAlign w:val="bottom"/>
            <w:tcBorders>
              <w:top w:val="single" w:sz="8" w:color="CCEEFF"/>
            </w:tcBorders>
            <w:gridSpan w:val="2"/>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5"/>
                <w:szCs w:val="15"/>
                <w:color w:val="auto"/>
              </w:rPr>
            </w:pPr>
          </w:p>
        </w:tc>
        <w:tc>
          <w:tcPr>
            <w:tcW w:w="10100" w:type="dxa"/>
            <w:vAlign w:val="bottom"/>
            <w:gridSpan w:val="18"/>
          </w:tcPr>
          <w:p>
            <w:pPr>
              <w:spacing w:after="0" w:line="176" w:lineRule="exact"/>
              <w:rPr>
                <w:rFonts w:ascii="Arial" w:cs="Arial" w:eastAsia="Arial" w:hAnsi="Arial"/>
                <w:sz w:val="18"/>
                <w:szCs w:val="18"/>
                <w:color w:val="0000EE"/>
                <w:w w:val="92"/>
              </w:rPr>
            </w:pPr>
            <w:hyperlink r:id="rId28">
              <w:r>
                <w:rPr>
                  <w:rFonts w:ascii="Arial" w:cs="Arial" w:eastAsia="Arial" w:hAnsi="Arial"/>
                  <w:sz w:val="18"/>
                  <w:szCs w:val="18"/>
                  <w:color w:val="0000EE"/>
                  <w:w w:val="92"/>
                </w:rPr>
                <w:t>2021 Share Incentive Plan (incorporated by reference to Exhibit 10.2 to the Registrant’s registration statement on Form F-1 (File No. 333-</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268907) initially filed with the Commission on December 20, 2022, as amended)</w:t>
              </w:r>
            </w:hyperlink>
          </w:p>
        </w:tc>
        <w:tc>
          <w:tcPr>
            <w:tcW w:w="16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748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90"/>
              </w:rPr>
              <w:t>Consent of PricewaterhouseCoopers Zhong Tian LLP, an independent registered public accounting firm</w:t>
            </w:r>
          </w:p>
        </w:tc>
        <w:tc>
          <w:tcPr>
            <w:tcW w:w="2620" w:type="dxa"/>
            <w:vAlign w:val="bottom"/>
            <w:tcBorders>
              <w:bottom w:val="single" w:sz="8" w:color="CCEEFF"/>
            </w:tcBorders>
            <w:gridSpan w:val="9"/>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23.2*</w:t>
            </w:r>
          </w:p>
        </w:tc>
        <w:tc>
          <w:tcPr>
            <w:tcW w:w="120" w:type="dxa"/>
            <w:vAlign w:val="bottom"/>
          </w:tcPr>
          <w:p>
            <w:pPr>
              <w:spacing w:after="0"/>
              <w:rPr>
                <w:sz w:val="15"/>
                <w:szCs w:val="15"/>
                <w:color w:val="auto"/>
              </w:rPr>
            </w:pPr>
          </w:p>
        </w:tc>
        <w:tc>
          <w:tcPr>
            <w:tcW w:w="10100" w:type="dxa"/>
            <w:vAlign w:val="bottom"/>
            <w:gridSpan w:val="18"/>
          </w:tcPr>
          <w:p>
            <w:pPr>
              <w:spacing w:after="0" w:line="176" w:lineRule="exact"/>
              <w:rPr>
                <w:sz w:val="20"/>
                <w:szCs w:val="20"/>
                <w:color w:val="auto"/>
              </w:rPr>
            </w:pPr>
            <w:r>
              <w:rPr>
                <w:rFonts w:ascii="Arial" w:cs="Arial" w:eastAsia="Arial" w:hAnsi="Arial"/>
                <w:sz w:val="18"/>
                <w:szCs w:val="18"/>
                <w:color w:val="0000EE"/>
              </w:rPr>
              <w:t>Consent of Maples and Calder (Hong Kong) LLP (included in Exhibit 5.1)</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6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7"/>
                <w:szCs w:val="17"/>
                <w:color w:val="auto"/>
              </w:rPr>
            </w:pPr>
          </w:p>
        </w:tc>
        <w:tc>
          <w:tcPr>
            <w:tcW w:w="101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Powers of Attorney (included on signature page hereto)</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tcBorders>
              <w:top w:val="single" w:sz="8" w:color="CCEEFF"/>
            </w:tcBorders>
          </w:tcPr>
          <w:p>
            <w:pPr>
              <w:spacing w:after="0"/>
              <w:rPr>
                <w:sz w:val="15"/>
                <w:szCs w:val="15"/>
                <w:color w:val="auto"/>
              </w:rPr>
            </w:pPr>
          </w:p>
        </w:tc>
        <w:tc>
          <w:tcPr>
            <w:tcW w:w="1180" w:type="dxa"/>
            <w:vAlign w:val="bottom"/>
            <w:tcBorders>
              <w:top w:val="single" w:sz="8" w:color="0000EE"/>
              <w:bottom w:val="single" w:sz="8" w:color="0000EE"/>
            </w:tcBorders>
            <w:gridSpan w:val="2"/>
          </w:tcPr>
          <w:p>
            <w:pPr>
              <w:spacing w:after="0" w:line="176" w:lineRule="exact"/>
              <w:rPr>
                <w:sz w:val="20"/>
                <w:szCs w:val="20"/>
                <w:color w:val="auto"/>
              </w:rPr>
            </w:pPr>
            <w:r>
              <w:rPr>
                <w:rFonts w:ascii="Arial" w:cs="Arial" w:eastAsia="Arial" w:hAnsi="Arial"/>
                <w:sz w:val="18"/>
                <w:szCs w:val="18"/>
                <w:color w:val="0000EE"/>
                <w:w w:val="89"/>
              </w:rPr>
              <w:t>Filing Fee Table</w:t>
            </w:r>
          </w:p>
        </w:tc>
        <w:tc>
          <w:tcPr>
            <w:tcW w:w="2820" w:type="dxa"/>
            <w:vAlign w:val="bottom"/>
            <w:tcBorders>
              <w:top w:val="single" w:sz="8" w:color="0000EE"/>
            </w:tcBorders>
            <w:gridSpan w:val="2"/>
          </w:tcPr>
          <w:p>
            <w:pPr>
              <w:spacing w:after="0"/>
              <w:rPr>
                <w:sz w:val="15"/>
                <w:szCs w:val="15"/>
                <w:color w:val="auto"/>
              </w:rPr>
            </w:pPr>
          </w:p>
        </w:tc>
        <w:tc>
          <w:tcPr>
            <w:tcW w:w="6100" w:type="dxa"/>
            <w:vAlign w:val="bottom"/>
            <w:tcBorders>
              <w:top w:val="single" w:sz="8" w:color="CCEEFF"/>
            </w:tcBorders>
            <w:gridSpan w:val="14"/>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Beijing, China, on March 30, 2023.</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QuantaSing Group Limited</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/s/ Peng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Peng Li</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and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severally and not jointly, each of Mr. Peng Li and Mr. Dong Xie, with full power to act alone, as his true and lawful attorney-in-fact, with the power of substitution, for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each said attorney-in-fact full power and authority to do and perform each and every act and thing requisite and necessary to be done as fully to all intents and purposes as he might or could do in person, hereby ratifying and confirming all that each said attorney-in-fact may lawfully do or cause to be done by virtue hereof.</w:t>
      </w:r>
    </w:p>
    <w:p>
      <w:pPr>
        <w:spacing w:after="0" w:line="19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March 30, 2023 in the capacities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b w:val="1"/>
                <w:bCs w:val="1"/>
                <w:color w:val="auto"/>
                <w:w w:val="91"/>
              </w:rPr>
              <w:t>Signature</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439"/>
        </w:trPr>
        <w:tc>
          <w:tcPr>
            <w:tcW w:w="4620" w:type="dxa"/>
            <w:vAlign w:val="bottom"/>
            <w:tcBorders>
              <w:bottom w:val="single" w:sz="8" w:color="auto"/>
            </w:tcBorders>
          </w:tcPr>
          <w:p>
            <w:pPr>
              <w:jc w:val="center"/>
              <w:ind w:left="950"/>
              <w:spacing w:after="0"/>
              <w:rPr>
                <w:sz w:val="20"/>
                <w:szCs w:val="20"/>
                <w:color w:val="auto"/>
              </w:rPr>
            </w:pPr>
            <w:r>
              <w:rPr>
                <w:rFonts w:ascii="Arial" w:cs="Arial" w:eastAsia="Arial" w:hAnsi="Arial"/>
                <w:sz w:val="18"/>
                <w:szCs w:val="18"/>
                <w:color w:val="auto"/>
                <w:w w:val="91"/>
              </w:rPr>
              <w:t>/s/ Peng Li</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230"/>
        </w:trPr>
        <w:tc>
          <w:tcPr>
            <w:tcW w:w="4620" w:type="dxa"/>
            <w:vAlign w:val="bottom"/>
          </w:tcPr>
          <w:p>
            <w:pPr>
              <w:jc w:val="center"/>
              <w:ind w:left="930"/>
              <w:spacing w:after="0"/>
              <w:rPr>
                <w:sz w:val="20"/>
                <w:szCs w:val="20"/>
                <w:color w:val="auto"/>
              </w:rPr>
            </w:pPr>
            <w:r>
              <w:rPr>
                <w:rFonts w:ascii="Arial" w:cs="Arial" w:eastAsia="Arial" w:hAnsi="Arial"/>
                <w:sz w:val="18"/>
                <w:szCs w:val="18"/>
                <w:color w:val="auto"/>
                <w:w w:val="91"/>
              </w:rPr>
              <w:t>Peng Li</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jc w:val="center"/>
              <w:spacing w:after="0" w:line="203" w:lineRule="exact"/>
              <w:rPr>
                <w:sz w:val="20"/>
                <w:szCs w:val="20"/>
                <w:color w:val="auto"/>
              </w:rPr>
            </w:pPr>
            <w:r>
              <w:rPr>
                <w:rFonts w:ascii="Arial" w:cs="Arial" w:eastAsia="Arial" w:hAnsi="Arial"/>
                <w:sz w:val="18"/>
                <w:szCs w:val="18"/>
                <w:color w:val="auto"/>
                <w:w w:val="94"/>
              </w:rPr>
              <w:t>(principal executive officer)</w:t>
            </w:r>
          </w:p>
        </w:tc>
      </w:tr>
      <w:tr>
        <w:trPr>
          <w:trHeight w:val="425"/>
        </w:trPr>
        <w:tc>
          <w:tcPr>
            <w:tcW w:w="462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color w:val="auto"/>
                <w:w w:val="93"/>
              </w:rPr>
              <w:t>/s/ Dong Xie</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3"/>
              </w:rPr>
              <w:t>Director and Chief Financial Officer</w:t>
            </w:r>
          </w:p>
        </w:tc>
      </w:tr>
      <w:tr>
        <w:trPr>
          <w:trHeight w:val="230"/>
        </w:trPr>
        <w:tc>
          <w:tcPr>
            <w:tcW w:w="4620" w:type="dxa"/>
            <w:vAlign w:val="bottom"/>
          </w:tcPr>
          <w:p>
            <w:pPr>
              <w:jc w:val="center"/>
              <w:ind w:left="950"/>
              <w:spacing w:after="0"/>
              <w:rPr>
                <w:sz w:val="20"/>
                <w:szCs w:val="20"/>
                <w:color w:val="auto"/>
              </w:rPr>
            </w:pPr>
            <w:r>
              <w:rPr>
                <w:rFonts w:ascii="Arial" w:cs="Arial" w:eastAsia="Arial" w:hAnsi="Arial"/>
                <w:sz w:val="18"/>
                <w:szCs w:val="18"/>
                <w:color w:val="auto"/>
                <w:w w:val="94"/>
              </w:rPr>
              <w:t>Dong Xie</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jc w:val="center"/>
              <w:spacing w:after="0" w:line="203" w:lineRule="exact"/>
              <w:rPr>
                <w:sz w:val="20"/>
                <w:szCs w:val="20"/>
                <w:color w:val="auto"/>
              </w:rPr>
            </w:pPr>
            <w:r>
              <w:rPr>
                <w:rFonts w:ascii="Arial" w:cs="Arial" w:eastAsia="Arial" w:hAnsi="Arial"/>
                <w:sz w:val="18"/>
                <w:szCs w:val="18"/>
                <w:color w:val="auto"/>
                <w:w w:val="93"/>
              </w:rPr>
              <w:t>(principal financial and accounting officer)</w:t>
            </w:r>
          </w:p>
        </w:tc>
      </w:tr>
      <w:tr>
        <w:trPr>
          <w:trHeight w:val="425"/>
        </w:trPr>
        <w:tc>
          <w:tcPr>
            <w:tcW w:w="462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color w:val="auto"/>
                <w:w w:val="91"/>
              </w:rPr>
              <w:t>/s/ Jinshan Li</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30"/>
        </w:trPr>
        <w:tc>
          <w:tcPr>
            <w:tcW w:w="4620" w:type="dxa"/>
            <w:vAlign w:val="bottom"/>
          </w:tcPr>
          <w:p>
            <w:pPr>
              <w:jc w:val="center"/>
              <w:ind w:left="950"/>
              <w:spacing w:after="0"/>
              <w:rPr>
                <w:sz w:val="20"/>
                <w:szCs w:val="20"/>
                <w:color w:val="auto"/>
              </w:rPr>
            </w:pPr>
            <w:r>
              <w:rPr>
                <w:rFonts w:ascii="Arial" w:cs="Arial" w:eastAsia="Arial" w:hAnsi="Arial"/>
                <w:sz w:val="18"/>
                <w:szCs w:val="18"/>
                <w:color w:val="auto"/>
                <w:w w:val="91"/>
              </w:rPr>
              <w:t>Jinshan Li</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5"/>
        </w:trPr>
        <w:tc>
          <w:tcPr>
            <w:tcW w:w="462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color w:val="auto"/>
                <w:w w:val="92"/>
              </w:rPr>
              <w:t>/s/ Frank Lin</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30"/>
        </w:trPr>
        <w:tc>
          <w:tcPr>
            <w:tcW w:w="4620" w:type="dxa"/>
            <w:vAlign w:val="bottom"/>
          </w:tcPr>
          <w:p>
            <w:pPr>
              <w:jc w:val="center"/>
              <w:ind w:left="930"/>
              <w:spacing w:after="0"/>
              <w:rPr>
                <w:sz w:val="20"/>
                <w:szCs w:val="20"/>
                <w:color w:val="auto"/>
              </w:rPr>
            </w:pPr>
            <w:r>
              <w:rPr>
                <w:rFonts w:ascii="Arial" w:cs="Arial" w:eastAsia="Arial" w:hAnsi="Arial"/>
                <w:sz w:val="18"/>
                <w:szCs w:val="18"/>
                <w:color w:val="auto"/>
                <w:w w:val="95"/>
              </w:rPr>
              <w:t>Frank Lin</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5"/>
        </w:trPr>
        <w:tc>
          <w:tcPr>
            <w:tcW w:w="462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color w:val="auto"/>
                <w:w w:val="96"/>
              </w:rPr>
              <w:t>/s/ Xihao Liu</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30"/>
        </w:trPr>
        <w:tc>
          <w:tcPr>
            <w:tcW w:w="4620" w:type="dxa"/>
            <w:vAlign w:val="bottom"/>
          </w:tcPr>
          <w:p>
            <w:pPr>
              <w:jc w:val="center"/>
              <w:ind w:left="950"/>
              <w:spacing w:after="0"/>
              <w:rPr>
                <w:sz w:val="20"/>
                <w:szCs w:val="20"/>
                <w:color w:val="auto"/>
              </w:rPr>
            </w:pPr>
            <w:r>
              <w:rPr>
                <w:rFonts w:ascii="Arial" w:cs="Arial" w:eastAsia="Arial" w:hAnsi="Arial"/>
                <w:sz w:val="18"/>
                <w:szCs w:val="18"/>
                <w:color w:val="auto"/>
                <w:w w:val="98"/>
              </w:rPr>
              <w:t>Xihao Liu</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5"/>
        </w:trPr>
        <w:tc>
          <w:tcPr>
            <w:tcW w:w="4620" w:type="dxa"/>
            <w:vAlign w:val="bottom"/>
            <w:tcBorders>
              <w:bottom w:val="single" w:sz="8" w:color="auto"/>
            </w:tcBorders>
          </w:tcPr>
          <w:p>
            <w:pPr>
              <w:jc w:val="center"/>
              <w:ind w:left="950"/>
              <w:spacing w:after="0"/>
              <w:rPr>
                <w:sz w:val="20"/>
                <w:szCs w:val="20"/>
                <w:color w:val="auto"/>
              </w:rPr>
            </w:pPr>
            <w:r>
              <w:rPr>
                <w:rFonts w:ascii="Arial" w:cs="Arial" w:eastAsia="Arial" w:hAnsi="Arial"/>
                <w:sz w:val="18"/>
                <w:szCs w:val="18"/>
                <w:color w:val="auto"/>
                <w:w w:val="91"/>
              </w:rPr>
              <w:t>/s/ Pei Hua (Helen) Wong</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Independent Director</w:t>
            </w:r>
          </w:p>
        </w:tc>
      </w:tr>
      <w:tr>
        <w:trPr>
          <w:trHeight w:val="230"/>
        </w:trPr>
        <w:tc>
          <w:tcPr>
            <w:tcW w:w="4620" w:type="dxa"/>
            <w:vAlign w:val="bottom"/>
          </w:tcPr>
          <w:p>
            <w:pPr>
              <w:jc w:val="center"/>
              <w:ind w:left="930"/>
              <w:spacing w:after="0"/>
              <w:rPr>
                <w:sz w:val="20"/>
                <w:szCs w:val="20"/>
                <w:color w:val="auto"/>
              </w:rPr>
            </w:pPr>
            <w:r>
              <w:rPr>
                <w:rFonts w:ascii="Arial" w:cs="Arial" w:eastAsia="Arial" w:hAnsi="Arial"/>
                <w:sz w:val="18"/>
                <w:szCs w:val="18"/>
                <w:color w:val="auto"/>
                <w:w w:val="91"/>
              </w:rPr>
              <w:t>Pei Hua (Helen) Wong</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5"/>
        </w:trPr>
        <w:tc>
          <w:tcPr>
            <w:tcW w:w="4620" w:type="dxa"/>
            <w:vAlign w:val="bottom"/>
            <w:tcBorders>
              <w:bottom w:val="single" w:sz="8" w:color="auto"/>
            </w:tcBorders>
          </w:tcPr>
          <w:p>
            <w:pPr>
              <w:jc w:val="center"/>
              <w:ind w:left="930"/>
              <w:spacing w:after="0"/>
              <w:rPr>
                <w:sz w:val="20"/>
                <w:szCs w:val="20"/>
                <w:color w:val="auto"/>
              </w:rPr>
            </w:pPr>
            <w:r>
              <w:rPr>
                <w:rFonts w:ascii="Arial" w:cs="Arial" w:eastAsia="Arial" w:hAnsi="Arial"/>
                <w:sz w:val="18"/>
                <w:szCs w:val="18"/>
                <w:color w:val="auto"/>
                <w:w w:val="91"/>
              </w:rPr>
              <w:t>/s/ Hongqiang Zhao</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Independent Director</w:t>
            </w:r>
          </w:p>
        </w:tc>
      </w:tr>
      <w:tr>
        <w:trPr>
          <w:trHeight w:val="230"/>
        </w:trPr>
        <w:tc>
          <w:tcPr>
            <w:tcW w:w="4620" w:type="dxa"/>
            <w:vAlign w:val="bottom"/>
          </w:tcPr>
          <w:p>
            <w:pPr>
              <w:jc w:val="center"/>
              <w:ind w:left="930"/>
              <w:spacing w:after="0"/>
              <w:rPr>
                <w:sz w:val="20"/>
                <w:szCs w:val="20"/>
                <w:color w:val="auto"/>
              </w:rPr>
            </w:pPr>
            <w:r>
              <w:rPr>
                <w:rFonts w:ascii="Arial" w:cs="Arial" w:eastAsia="Arial" w:hAnsi="Arial"/>
                <w:sz w:val="18"/>
                <w:szCs w:val="18"/>
                <w:color w:val="auto"/>
                <w:w w:val="90"/>
              </w:rPr>
              <w:t>Hongqiang Zhao</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641"/>
        </w:trPr>
        <w:tc>
          <w:tcPr>
            <w:tcW w:w="46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240"/>
          </w:cols>
          <w:pgMar w:left="320" w:top="904" w:right="33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Act of 1933, as amended, the undersigned, the duly authorized representative in the United States of QuantaSing Group Limited has signed this registration statement or amendment thereto in New York on March 30, 2023.</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Authorized U.S. Representative</w:t>
      </w:r>
    </w:p>
    <w:p>
      <w:pPr>
        <w:spacing w:after="0" w:line="211"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Colleen A. De Vries</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on behalf of Cogency</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Global Inc.</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Ref</w:t>
      </w:r>
      <w:r>
        <w:rPr>
          <w:sz w:val="20"/>
          <w:szCs w:val="20"/>
          <w:color w:val="auto"/>
        </w:rPr>
        <w:tab/>
      </w:r>
      <w:r>
        <w:rPr>
          <w:rFonts w:ascii="Arial" w:cs="Arial" w:eastAsia="Arial" w:hAnsi="Arial"/>
          <w:sz w:val="18"/>
          <w:szCs w:val="18"/>
          <w:color w:val="auto"/>
        </w:rPr>
        <w:t>VSL/785638-000001/26069076v2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QuantaSing Group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2/F, Building D, Ronsin Technology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Chaoyang District, Beijing 100102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30 March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QuantaSing Group Limited (the “Company”)</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acted as Cayman Islands legal counsel to the Company in connection with a registration statement on Form S-8 to be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on 30 March 2023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which term does not include any other document or agreement whether or not specifically referred to therein or attached as an exhibit or schedule thereto) relating to the registration under the United States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of 38,240,745 class A ordinary shares, par value US$0.0001 per share, in the capital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issuable by the Company pursuant to the Company’s 2018 Employee Share Incentive Plan and the 2021 Global Share Plan (together, the “</w:t>
      </w:r>
      <w:r>
        <w:rPr>
          <w:rFonts w:ascii="Arial" w:cs="Arial" w:eastAsia="Arial" w:hAnsi="Arial"/>
          <w:sz w:val="18"/>
          <w:szCs w:val="18"/>
          <w:b w:val="1"/>
          <w:bCs w:val="1"/>
          <w:color w:val="auto"/>
        </w:rPr>
        <w:t>Plans</w:t>
      </w:r>
      <w:r>
        <w:rPr>
          <w:rFonts w:ascii="Arial" w:cs="Arial" w:eastAsia="Arial" w:hAnsi="Arial"/>
          <w:sz w:val="18"/>
          <w:szCs w:val="18"/>
          <w:color w:val="auto"/>
        </w:rPr>
        <w:t>”, which term does not include any other document or agreement whether or not specifically referred to therein or attached as an exhibit or schedule thereto).</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purposes of giving this opinion, we have examined copies of the Registration Statement and the Plans. We have also reviewed copies of the second amended and restated memorandum and articles of association of the Company adopted by special resolution passed on 20 December 2022 and effective on 27 January 2023 (the “</w:t>
      </w:r>
      <w:r>
        <w:rPr>
          <w:rFonts w:ascii="Arial" w:cs="Arial" w:eastAsia="Arial" w:hAnsi="Arial"/>
          <w:sz w:val="18"/>
          <w:szCs w:val="18"/>
          <w:b w:val="1"/>
          <w:bCs w:val="1"/>
          <w:color w:val="auto"/>
        </w:rPr>
        <w:t>Memorandum and Articles</w:t>
      </w:r>
      <w:r>
        <w:rPr>
          <w:rFonts w:ascii="Arial" w:cs="Arial" w:eastAsia="Arial" w:hAnsi="Arial"/>
          <w:sz w:val="18"/>
          <w:szCs w:val="18"/>
          <w:color w:val="auto"/>
        </w:rPr>
        <w:t>”), and the written resolutions of the then sole director of the Company passed on 31 May 2022, the written resolutions of the then sole shareholder of the Company passed on 31 May 2022, and the written resolutions of the board of directors of the Company passed on 29 March 2023 (together, the “</w:t>
      </w:r>
      <w:r>
        <w:rPr>
          <w:rFonts w:ascii="Arial" w:cs="Arial" w:eastAsia="Arial" w:hAnsi="Arial"/>
          <w:sz w:val="18"/>
          <w:szCs w:val="18"/>
          <w:b w:val="1"/>
          <w:bCs w:val="1"/>
          <w:color w:val="auto"/>
        </w:rPr>
        <w:t>Resolutions</w:t>
      </w:r>
      <w:r>
        <w:rPr>
          <w:rFonts w:ascii="Arial" w:cs="Arial" w:eastAsia="Arial" w:hAnsi="Arial"/>
          <w:sz w:val="18"/>
          <w:szCs w:val="18"/>
          <w:color w:val="auto"/>
        </w:rPr>
        <w:t>”).</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Based upon, and subject to, the assumptions and qualifications set out below, and having regard to such legal considerations as we deem relevant, we are of the opinion that:</w:t>
      </w:r>
    </w:p>
    <w:p>
      <w:pPr>
        <w:spacing w:after="0" w:line="17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Shares to be issued by the Company and registered under the Registration Statement have been duly and validly authorised.</w:t>
      </w:r>
    </w:p>
    <w:p>
      <w:pPr>
        <w:spacing w:after="0" w:line="225" w:lineRule="exact"/>
        <w:rPr>
          <w:rFonts w:ascii="Arial" w:cs="Arial" w:eastAsia="Arial" w:hAnsi="Arial"/>
          <w:sz w:val="18"/>
          <w:szCs w:val="18"/>
          <w:color w:val="auto"/>
        </w:rPr>
      </w:pPr>
    </w:p>
    <w:p>
      <w:pPr>
        <w:ind w:left="660" w:right="440" w:hanging="652"/>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When issued and paid for in accordance with the terms of the Plans and in accordance with the Resolutions, and when appropriate entries are made in the register of members (shareholders) of the Company, the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right="120"/>
        <w:spacing w:after="0" w:line="301" w:lineRule="auto"/>
        <w:rPr>
          <w:sz w:val="20"/>
          <w:szCs w:val="20"/>
          <w:color w:val="auto"/>
        </w:rPr>
      </w:pPr>
      <w:r>
        <w:rPr>
          <w:rFonts w:ascii="Arial" w:cs="Arial" w:eastAsia="Arial" w:hAnsi="Arial"/>
          <w:sz w:val="16"/>
          <w:szCs w:val="16"/>
          <w:color w:val="auto"/>
        </w:rPr>
        <w:t>In this opinion letter, the phrase “non-assessable” means, with respect to the issuance of Shares,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15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These opinions are subject to the qualification that under the Companies Act (As Revised) of the Cayman Islands (the “</w:t>
      </w:r>
      <w:r>
        <w:rPr>
          <w:rFonts w:ascii="Arial" w:cs="Arial" w:eastAsia="Arial" w:hAnsi="Arial"/>
          <w:sz w:val="18"/>
          <w:szCs w:val="18"/>
          <w:b w:val="1"/>
          <w:bCs w:val="1"/>
          <w:color w:val="auto"/>
        </w:rPr>
        <w:t>Companies Act</w:t>
      </w:r>
      <w:r>
        <w:rPr>
          <w:rFonts w:ascii="Arial" w:cs="Arial" w:eastAsia="Arial" w:hAnsi="Arial"/>
          <w:sz w:val="18"/>
          <w:szCs w:val="18"/>
          <w:color w:val="auto"/>
        </w:rPr>
        <w:t xml:space="preserve">”), the register of members of a Cayman Islands company is by statute regarded as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p>
      <w:pPr>
        <w:spacing w:after="0" w:line="184"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These opinions are given only as to, and based on, circumstances and matters of fact existing and known to us on the date of this opinion letter. These opinions only relate to the laws of the Cayman Islands which are in force on the date of this opinion letter. We express no opinion as to the meaning, validity or effect of any references to foreign (i.e. non-Cayman Islands) statutes, rules, regulations, codes, judicial authority or any other promulgations.</w:t>
      </w:r>
    </w:p>
    <w:p>
      <w:pPr>
        <w:spacing w:after="0" w:line="14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have also relied upon the assumptions, which we have not independently verified, that (a) all signatures, initials and seals are genuine, (b) copies of documents, conformed copies or drafts of documents provided to us are true and complete copies of, or in the final forms of, the originals, (c) where a document has been provided to us in draft or undated form, it will be duly executed, dated and unconditionally delivered in the same form as the last version provided to us, (d) the Memorandum and Articles remain in full force and effect and are unamended, (e) the Resolutions were duly passed in the manner prescribed in the memorandum and articles of association of the Company effective at the relevant time and have not been amended, varied or revoked in any respect, (f) there is nothing under any law (other than the laws of the Cayman Islands) which would or might affect the opinions set out above, (g) there is nothing contained in the minute book or corporate records of the Company (which we have not inspected) which would or might affect the opinions set out above, and (h) upon the issue of any Shares, the Company will receive consideration which shall be not less than the par value of such Shares.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all references to us in the Registration Statement and any amendments thereto. In giving such consent, we do not consider that we are “experts” within the meaning of such term as used in the Securities Act, or the rules and regulations of the Commission issued thereunder, with respect to any part of the Registration Statement, including this opinion as an exhibit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Maples and Calder (Hong Kong)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QuantaSing Group Limited of our report dated September 29, 2022, except for the effects of updating the convenience translation discussed in Note 2(e) to the consolidated financial statements, as to which the date is December 20, 2022, relating to the financial statements, which appears in the Registration Statement on Form F-1 (No. 333-268907) of QuantaSing Group Limited.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Zhong Tian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2023</w:t>
      </w:r>
    </w:p>
    <w:p>
      <w:pPr>
        <w:sectPr>
          <w:pgSz w:w="11900" w:h="16838" w:orient="portrait"/>
          <w:cols w:equalWidth="0" w:num="1">
            <w:col w:w="11240"/>
          </w:cols>
          <w:pgMar w:left="320" w:top="112"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20"/>
        <w:spacing w:after="0"/>
        <w:rPr>
          <w:sz w:val="20"/>
          <w:szCs w:val="20"/>
          <w:color w:val="auto"/>
        </w:rPr>
      </w:pPr>
      <w:r>
        <w:rPr>
          <w:rFonts w:ascii="Arial" w:cs="Arial" w:eastAsia="Arial" w:hAnsi="Arial"/>
          <w:sz w:val="16"/>
          <w:szCs w:val="16"/>
          <w:b w:val="1"/>
          <w:bCs w:val="1"/>
          <w:color w:val="auto"/>
        </w:rPr>
        <w:t>Security</w:t>
      </w:r>
    </w:p>
    <w:p>
      <w:pPr>
        <w:spacing w:after="0" w:line="50"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Type</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Equity</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w:t>
      </w:r>
    </w:p>
    <w:p>
      <w:pPr>
        <w:jc w:val="center"/>
        <w:spacing w:after="0" w:line="188" w:lineRule="auto"/>
        <w:rPr>
          <w:sz w:val="20"/>
          <w:szCs w:val="20"/>
          <w:color w:val="auto"/>
        </w:rPr>
      </w:pPr>
      <w:r>
        <w:rPr>
          <w:rFonts w:ascii="Arial" w:cs="Arial" w:eastAsia="Arial" w:hAnsi="Arial"/>
          <w:sz w:val="18"/>
          <w:szCs w:val="18"/>
          <w:b w:val="1"/>
          <w:bCs w:val="1"/>
          <w:color w:val="auto"/>
        </w:rPr>
        <w:t>Title</w:t>
      </w:r>
      <w:r>
        <w:rPr>
          <w:rFonts w:ascii="Arial" w:cs="Arial" w:eastAsia="Arial" w:hAnsi="Arial"/>
          <w:sz w:val="37"/>
          <w:szCs w:val="37"/>
          <w:b w:val="1"/>
          <w:bCs w:val="1"/>
          <w:color w:val="auto"/>
          <w:vertAlign w:val="superscript"/>
        </w:rPr>
        <w:t>(1)</w:t>
      </w:r>
    </w:p>
    <w:p>
      <w:pPr>
        <w:spacing w:after="0" w:line="1" w:lineRule="exact"/>
        <w:rPr>
          <w:sz w:val="20"/>
          <w:szCs w:val="20"/>
          <w:color w:val="auto"/>
        </w:rPr>
      </w:pPr>
    </w:p>
    <w:p>
      <w:pPr>
        <w:jc w:val="both"/>
        <w:ind w:firstLine="32"/>
        <w:spacing w:after="0" w:line="285" w:lineRule="auto"/>
        <w:rPr>
          <w:sz w:val="20"/>
          <w:szCs w:val="20"/>
          <w:color w:val="auto"/>
        </w:rPr>
      </w:pPr>
      <w:r>
        <w:rPr>
          <w:rFonts w:ascii="Arial" w:cs="Arial" w:eastAsia="Arial" w:hAnsi="Arial"/>
          <w:sz w:val="16"/>
          <w:szCs w:val="16"/>
          <w:color w:val="auto"/>
        </w:rPr>
        <w:t>Class A ordinary shares, par value $0.0001 per share Class A ordinary shares, par value $0.0001 per share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2600"/>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2600"/>
        <w:spacing w:after="0"/>
        <w:rPr>
          <w:sz w:val="20"/>
          <w:szCs w:val="20"/>
          <w:color w:val="auto"/>
        </w:rPr>
      </w:pPr>
      <w:r>
        <w:rPr>
          <w:rFonts w:ascii="Arial" w:cs="Arial" w:eastAsia="Arial" w:hAnsi="Arial"/>
          <w:sz w:val="18"/>
          <w:szCs w:val="18"/>
          <w:b w:val="1"/>
          <w:bCs w:val="1"/>
          <w:color w:val="auto"/>
        </w:rPr>
        <w:t>QuantaSing Group Limited</w:t>
      </w:r>
    </w:p>
    <w:p>
      <w:pPr>
        <w:spacing w:after="0" w:line="229" w:lineRule="exact"/>
        <w:rPr>
          <w:sz w:val="20"/>
          <w:szCs w:val="20"/>
          <w:color w:val="auto"/>
        </w:rPr>
      </w:pPr>
    </w:p>
    <w:p>
      <w:pPr>
        <w:jc w:val="center"/>
        <w:ind w:right="2600"/>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Table 1: Newly Registered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Proposed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Fee</w:t>
            </w:r>
          </w:p>
        </w:tc>
        <w:tc>
          <w:tcPr>
            <w:tcW w:w="12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Maximum</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Amount of</w:t>
            </w:r>
          </w:p>
        </w:tc>
        <w:tc>
          <w:tcPr>
            <w:tcW w:w="0" w:type="dxa"/>
            <w:vAlign w:val="bottom"/>
          </w:tcPr>
          <w:p>
            <w:pPr>
              <w:spacing w:after="0"/>
              <w:rPr>
                <w:sz w:val="1"/>
                <w:szCs w:val="1"/>
                <w:color w:val="auto"/>
              </w:rPr>
            </w:pPr>
          </w:p>
        </w:tc>
      </w:tr>
      <w:tr>
        <w:trPr>
          <w:trHeight w:val="128"/>
        </w:trPr>
        <w:tc>
          <w:tcPr>
            <w:tcW w:w="17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Calculation</w:t>
            </w:r>
          </w:p>
        </w:tc>
        <w:tc>
          <w:tcPr>
            <w:tcW w:w="12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2"/>
              </w:rPr>
              <w:t>Offering Price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w w:val="94"/>
              </w:rPr>
              <w:t>Aggregate</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0" w:type="dxa"/>
            <w:vAlign w:val="bottom"/>
          </w:tcPr>
          <w:p>
            <w:pPr>
              <w:spacing w:after="0"/>
              <w:rPr>
                <w:sz w:val="1"/>
                <w:szCs w:val="1"/>
                <w:color w:val="auto"/>
              </w:rPr>
            </w:pPr>
          </w:p>
        </w:tc>
      </w:tr>
      <w:tr>
        <w:trPr>
          <w:trHeight w:val="88"/>
        </w:trPr>
        <w:tc>
          <w:tcPr>
            <w:tcW w:w="1780" w:type="dxa"/>
            <w:vAlign w:val="bottom"/>
            <w:gridSpan w:val="2"/>
            <w:vMerge w:val="continue"/>
          </w:tcPr>
          <w:p>
            <w:pPr>
              <w:spacing w:after="0"/>
              <w:rPr>
                <w:sz w:val="7"/>
                <w:szCs w:val="7"/>
                <w:color w:val="auto"/>
              </w:rPr>
            </w:pPr>
          </w:p>
        </w:tc>
        <w:tc>
          <w:tcPr>
            <w:tcW w:w="1240" w:type="dxa"/>
            <w:vAlign w:val="bottom"/>
            <w:vMerge w:val="restart"/>
          </w:tcPr>
          <w:p>
            <w:pPr>
              <w:jc w:val="right"/>
              <w:ind w:right="10"/>
              <w:spacing w:after="0" w:line="321" w:lineRule="exact"/>
              <w:rPr>
                <w:sz w:val="20"/>
                <w:szCs w:val="20"/>
                <w:color w:val="auto"/>
              </w:rPr>
            </w:pPr>
            <w:r>
              <w:rPr>
                <w:rFonts w:ascii="Arial" w:cs="Arial" w:eastAsia="Arial" w:hAnsi="Arial"/>
                <w:sz w:val="18"/>
                <w:szCs w:val="18"/>
                <w:b w:val="1"/>
                <w:bCs w:val="1"/>
                <w:color w:val="auto"/>
                <w:w w:val="90"/>
              </w:rPr>
              <w:t>Registered</w:t>
            </w:r>
            <w:r>
              <w:rPr>
                <w:rFonts w:ascii="Arial" w:cs="Arial" w:eastAsia="Arial" w:hAnsi="Arial"/>
                <w:sz w:val="37"/>
                <w:szCs w:val="37"/>
                <w:b w:val="1"/>
                <w:bCs w:val="1"/>
                <w:color w:val="auto"/>
                <w:w w:val="90"/>
                <w:vertAlign w:val="superscript"/>
              </w:rPr>
              <w:t>(2)</w:t>
            </w:r>
          </w:p>
        </w:tc>
        <w:tc>
          <w:tcPr>
            <w:tcW w:w="28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Rule</w:t>
            </w:r>
          </w:p>
        </w:tc>
        <w:tc>
          <w:tcPr>
            <w:tcW w:w="10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Per Unit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Offering Price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Fee Rate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Fee</w:t>
            </w:r>
          </w:p>
        </w:tc>
        <w:tc>
          <w:tcPr>
            <w:tcW w:w="0" w:type="dxa"/>
            <w:vAlign w:val="bottom"/>
          </w:tcPr>
          <w:p>
            <w:pPr>
              <w:spacing w:after="0"/>
              <w:rPr>
                <w:sz w:val="1"/>
                <w:szCs w:val="1"/>
                <w:color w:val="auto"/>
              </w:rPr>
            </w:pPr>
          </w:p>
        </w:tc>
      </w:tr>
      <w:tr>
        <w:trPr>
          <w:trHeight w:val="580"/>
        </w:trPr>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Rule 457(h)</w:t>
            </w:r>
          </w:p>
        </w:tc>
        <w:tc>
          <w:tcPr>
            <w:tcW w:w="1240" w:type="dxa"/>
            <w:vAlign w:val="bottom"/>
          </w:tcPr>
          <w:p>
            <w:pPr>
              <w:jc w:val="right"/>
              <w:spacing w:after="0"/>
              <w:rPr>
                <w:sz w:val="20"/>
                <w:szCs w:val="20"/>
                <w:color w:val="auto"/>
              </w:rPr>
            </w:pPr>
            <w:r>
              <w:rPr>
                <w:rFonts w:ascii="Arial" w:cs="Arial" w:eastAsia="Arial" w:hAnsi="Arial"/>
                <w:sz w:val="18"/>
                <w:szCs w:val="18"/>
                <w:color w:val="auto"/>
              </w:rPr>
              <w:t>18,496,751</w:t>
            </w:r>
          </w:p>
        </w:tc>
        <w:tc>
          <w:tcPr>
            <w:tcW w:w="280" w:type="dxa"/>
            <w:vAlign w:val="bottom"/>
            <w:vMerge w:val="restart"/>
          </w:tcPr>
          <w:p>
            <w:pPr>
              <w:jc w:val="right"/>
              <w:ind w:right="45"/>
              <w:spacing w:after="0"/>
              <w:rPr>
                <w:sz w:val="20"/>
                <w:szCs w:val="20"/>
                <w:color w:val="auto"/>
              </w:rPr>
            </w:pPr>
            <w:r>
              <w:rPr>
                <w:rFonts w:ascii="Arial" w:cs="Arial" w:eastAsia="Arial" w:hAnsi="Arial"/>
                <w:sz w:val="15"/>
                <w:szCs w:val="15"/>
                <w:color w:val="auto"/>
                <w:w w:val="76"/>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0.1863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3,445,944.71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0.0001102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379.74</w:t>
            </w:r>
          </w:p>
        </w:tc>
        <w:tc>
          <w:tcPr>
            <w:tcW w:w="0" w:type="dxa"/>
            <w:vAlign w:val="bottom"/>
          </w:tcPr>
          <w:p>
            <w:pPr>
              <w:spacing w:after="0"/>
              <w:rPr>
                <w:sz w:val="1"/>
                <w:szCs w:val="1"/>
                <w:color w:val="auto"/>
              </w:rPr>
            </w:pPr>
          </w:p>
        </w:tc>
      </w:tr>
      <w:tr>
        <w:trPr>
          <w:trHeight w:val="44"/>
        </w:trPr>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41"/>
        </w:trPr>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Rule 457(c)</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19,743,994</w:t>
            </w:r>
          </w:p>
        </w:tc>
        <w:tc>
          <w:tcPr>
            <w:tcW w:w="28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3.9133</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88"/>
              </w:rPr>
              <w:t>77,264,829.85</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0.0001102</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8,514.58</w:t>
            </w:r>
          </w:p>
        </w:tc>
        <w:tc>
          <w:tcPr>
            <w:tcW w:w="0" w:type="dxa"/>
            <w:vAlign w:val="bottom"/>
          </w:tcPr>
          <w:p>
            <w:pPr>
              <w:spacing w:after="0"/>
              <w:rPr>
                <w:sz w:val="1"/>
                <w:szCs w:val="1"/>
                <w:color w:val="auto"/>
              </w:rPr>
            </w:pPr>
          </w:p>
        </w:tc>
      </w:tr>
      <w:tr>
        <w:trPr>
          <w:trHeight w:val="163"/>
        </w:trPr>
        <w:tc>
          <w:tcPr>
            <w:tcW w:w="1780" w:type="dxa"/>
            <w:vAlign w:val="bottom"/>
            <w:gridSpan w:val="2"/>
          </w:tcPr>
          <w:p>
            <w:pPr>
              <w:jc w:val="center"/>
              <w:ind w:right="100"/>
              <w:spacing w:after="0" w:line="163" w:lineRule="exact"/>
              <w:rPr>
                <w:sz w:val="20"/>
                <w:szCs w:val="20"/>
                <w:color w:val="auto"/>
              </w:rPr>
            </w:pPr>
            <w:r>
              <w:rPr>
                <w:rFonts w:ascii="Arial" w:cs="Arial" w:eastAsia="Arial" w:hAnsi="Arial"/>
                <w:sz w:val="18"/>
                <w:szCs w:val="18"/>
                <w:color w:val="auto"/>
                <w:w w:val="91"/>
              </w:rPr>
              <w:t>and (h)</w:t>
            </w:r>
          </w:p>
        </w:tc>
        <w:tc>
          <w:tcPr>
            <w:tcW w:w="1240" w:type="dxa"/>
            <w:vAlign w:val="bottom"/>
            <w:vMerge w:val="continue"/>
          </w:tcPr>
          <w:p>
            <w:pPr>
              <w:spacing w:after="0"/>
              <w:rPr>
                <w:sz w:val="14"/>
                <w:szCs w:val="14"/>
                <w:color w:val="auto"/>
              </w:rPr>
            </w:pPr>
          </w:p>
        </w:tc>
        <w:tc>
          <w:tcPr>
            <w:tcW w:w="280" w:type="dxa"/>
            <w:vAlign w:val="bottom"/>
            <w:vMerge w:val="restart"/>
          </w:tcPr>
          <w:p>
            <w:pPr>
              <w:jc w:val="right"/>
              <w:ind w:right="45"/>
              <w:spacing w:after="0"/>
              <w:rPr>
                <w:sz w:val="20"/>
                <w:szCs w:val="20"/>
                <w:color w:val="auto"/>
              </w:rPr>
            </w:pPr>
            <w:r>
              <w:rPr>
                <w:rFonts w:ascii="Arial" w:cs="Arial" w:eastAsia="Arial" w:hAnsi="Arial"/>
                <w:sz w:val="15"/>
                <w:szCs w:val="15"/>
                <w:color w:val="auto"/>
                <w:w w:val="76"/>
              </w:rPr>
              <w:t>(4)</w:t>
            </w:r>
          </w:p>
        </w:tc>
        <w:tc>
          <w:tcPr>
            <w:tcW w:w="14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-824865</wp:posOffset>
            </wp:positionV>
            <wp:extent cx="7132320"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3">
            <w:col w:w="660" w:space="340"/>
            <w:col w:w="1300" w:space="300"/>
            <w:col w:w="864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1"/>
        </w:trPr>
        <w:tc>
          <w:tcPr>
            <w:tcW w:w="4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Offering Amounts</w:t>
            </w:r>
          </w:p>
        </w:tc>
        <w:tc>
          <w:tcPr>
            <w:tcW w:w="26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80" w:type="dxa"/>
            <w:vAlign w:val="bottom"/>
            <w:vMerge w:val="continue"/>
            <w:shd w:val="clear" w:color="auto" w:fill="CCEEFF"/>
          </w:tcPr>
          <w:p>
            <w:pPr>
              <w:spacing w:after="0"/>
              <w:rPr>
                <w:sz w:val="22"/>
                <w:szCs w:val="22"/>
                <w:color w:val="auto"/>
              </w:rPr>
            </w:pPr>
          </w:p>
        </w:tc>
        <w:tc>
          <w:tcPr>
            <w:tcW w:w="5340" w:type="dxa"/>
            <w:vAlign w:val="bottom"/>
            <w:gridSpan w:val="3"/>
            <w:shd w:val="clear" w:color="auto" w:fill="CCEEFF"/>
          </w:tcPr>
          <w:p>
            <w:pPr>
              <w:jc w:val="right"/>
              <w:ind w:right="1540"/>
              <w:spacing w:after="0"/>
              <w:rPr>
                <w:sz w:val="20"/>
                <w:szCs w:val="20"/>
                <w:color w:val="auto"/>
              </w:rPr>
            </w:pPr>
            <w:r>
              <w:rPr>
                <w:rFonts w:ascii="Arial" w:cs="Arial" w:eastAsia="Arial" w:hAnsi="Arial"/>
                <w:sz w:val="18"/>
                <w:szCs w:val="18"/>
                <w:color w:val="auto"/>
              </w:rPr>
              <w:t>$ 80,710,774.56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8,894.33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6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Total Fees Previously Paid</w:t>
            </w:r>
          </w:p>
        </w:tc>
        <w:tc>
          <w:tcPr>
            <w:tcW w:w="2660" w:type="dxa"/>
            <w:vAlign w:val="bottom"/>
            <w:tcBorders>
              <w:top w:val="single" w:sz="8" w:color="CCEEFF"/>
              <w:bottom w:val="single" w:sz="8" w:color="CCEEFF"/>
            </w:tcBorders>
          </w:tcPr>
          <w:p>
            <w:pPr>
              <w:spacing w:after="0"/>
              <w:rPr>
                <w:sz w:val="21"/>
                <w:szCs w:val="21"/>
                <w:color w:val="auto"/>
              </w:rPr>
            </w:pPr>
          </w:p>
        </w:tc>
        <w:tc>
          <w:tcPr>
            <w:tcW w:w="1140" w:type="dxa"/>
            <w:vAlign w:val="bottom"/>
            <w:tcBorders>
              <w:top w:val="single" w:sz="8" w:color="auto"/>
              <w:bottom w:val="single" w:sz="8" w:color="CCEEFF"/>
            </w:tcBorders>
          </w:tcPr>
          <w:p>
            <w:pPr>
              <w:spacing w:after="0"/>
              <w:rPr>
                <w:sz w:val="21"/>
                <w:szCs w:val="21"/>
                <w:color w:val="auto"/>
              </w:rPr>
            </w:pPr>
          </w:p>
        </w:tc>
        <w:tc>
          <w:tcPr>
            <w:tcW w:w="1540" w:type="dxa"/>
            <w:vAlign w:val="bottom"/>
            <w:tcBorders>
              <w:top w:val="single" w:sz="8" w:color="CCEEFF"/>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Fee Offsets</w:t>
            </w:r>
          </w:p>
        </w:tc>
        <w:tc>
          <w:tcPr>
            <w:tcW w:w="26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680" w:type="dxa"/>
            <w:vAlign w:val="bottom"/>
          </w:tcPr>
          <w:p>
            <w:pPr>
              <w:ind w:left="660"/>
              <w:spacing w:after="0"/>
              <w:rPr>
                <w:sz w:val="20"/>
                <w:szCs w:val="20"/>
                <w:color w:val="auto"/>
              </w:rPr>
            </w:pPr>
            <w:r>
              <w:rPr>
                <w:rFonts w:ascii="Arial" w:cs="Arial" w:eastAsia="Arial" w:hAnsi="Arial"/>
                <w:sz w:val="18"/>
                <w:szCs w:val="18"/>
                <w:b w:val="1"/>
                <w:bCs w:val="1"/>
                <w:color w:val="auto"/>
              </w:rPr>
              <w:t>Net Fee Due</w:t>
            </w:r>
          </w:p>
        </w:tc>
        <w:tc>
          <w:tcPr>
            <w:tcW w:w="26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right="20" w:hanging="332"/>
        <w:spacing w:after="0" w:line="286"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Class A ordinary shares of QuantaSing Group Limited (the “Registrant”) registered hereunder are represented by the Registrant’s American depositary shares (“ADSs”), each representing three Class A ordinary shares, par value $0.0001 per share. The registrant’s ADSs issuable upon deposit of the Class A ordinary shares have been registered under a separate registration statement on Form F-6 (333-268984).</w:t>
      </w:r>
    </w:p>
    <w:p>
      <w:pPr>
        <w:spacing w:after="0" w:line="151" w:lineRule="exact"/>
        <w:rPr>
          <w:rFonts w:ascii="Arial" w:cs="Arial" w:eastAsia="Arial" w:hAnsi="Arial"/>
          <w:sz w:val="17"/>
          <w:szCs w:val="17"/>
          <w:color w:val="auto"/>
        </w:rPr>
      </w:pPr>
    </w:p>
    <w:p>
      <w:pPr>
        <w:jc w:val="both"/>
        <w:ind w:left="340" w:hanging="332"/>
        <w:spacing w:after="0" w:line="30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Class A ordinary shares which are issuable upon exercise of options and pursuant to other awards granted under the 2018 Share Incentive Plan and 2021 Share Incentive Plan (together, the “Share Incentive Plans”) of the Registrant. Pursuant to Rule 416(a) under the Securities Act of 1933, as amended (the “Securities Act”), this registration statement is deemed to cover an indeterminate number of Class A ordinary shares which may be offered and issued to prevent dilution resulting from share splits, share dividends or similar transactions as provided in the Share Incentive Plans.</w:t>
      </w:r>
    </w:p>
    <w:p>
      <w:pPr>
        <w:spacing w:after="0" w:line="143" w:lineRule="exact"/>
        <w:rPr>
          <w:rFonts w:ascii="Arial" w:cs="Arial" w:eastAsia="Arial" w:hAnsi="Arial"/>
          <w:sz w:val="16"/>
          <w:szCs w:val="16"/>
          <w:color w:val="auto"/>
        </w:rPr>
      </w:pPr>
    </w:p>
    <w:p>
      <w:pPr>
        <w:jc w:val="both"/>
        <w:ind w:left="340" w:hanging="332"/>
        <w:spacing w:after="0" w:line="286"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Class A ordinary shares which are issuable upon the exercise of outstanding options previously granted under the Share Incentive Plans as of the date of this registration statement and the corresponding proposed maximum offering price per share represents the weighted average of the exercise price of options which have been already granted and are outstanding under the Share Incentive Plans.</w:t>
      </w:r>
    </w:p>
    <w:p>
      <w:pPr>
        <w:spacing w:after="0" w:line="151" w:lineRule="exact"/>
        <w:rPr>
          <w:rFonts w:ascii="Arial" w:cs="Arial" w:eastAsia="Arial" w:hAnsi="Arial"/>
          <w:sz w:val="17"/>
          <w:szCs w:val="17"/>
          <w:color w:val="auto"/>
        </w:rPr>
      </w:pPr>
    </w:p>
    <w:p>
      <w:pPr>
        <w:jc w:val="both"/>
        <w:ind w:left="340" w:hanging="332"/>
        <w:spacing w:after="0" w:line="311"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Class A ordinary shares to be issued pursuant to the Share Incentive Plans. The proposed maximum offering price per share, which is estimated solely for the purposes of calculating the registration fee under Rule 457(h) and Rule 457(c) under the Securities Act, is based on US$11.74 per ADS, the average of the high and low prices for the Registrant’s ADSs as quoted on the Nasdaq Global Market on March 29, 2023.</w:t>
      </w:r>
    </w:p>
    <w:p>
      <w:pPr>
        <w:spacing w:after="0" w:line="135" w:lineRule="exact"/>
        <w:rPr>
          <w:rFonts w:ascii="Arial" w:cs="Arial" w:eastAsia="Arial" w:hAnsi="Arial"/>
          <w:sz w:val="16"/>
          <w:szCs w:val="16"/>
          <w:color w:val="auto"/>
        </w:rPr>
      </w:pPr>
    </w:p>
    <w:p>
      <w:pPr>
        <w:jc w:val="both"/>
        <w:ind w:left="340" w:right="2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Class A ordinary share covered by an award granted under the Share Incentive Plans (or portion of an award) that is forfeited, cancelled or otherwise expired for any reason without having been exercised shall be deemed not to have been issued for purposes of determining the maximum aggregate number of Class A ordinary shares which may be issued under the Share Incentive Plans.</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EB141F2"/>
    <w:multiLevelType w:val="hybridMultilevel"/>
    <w:lvl w:ilvl="0">
      <w:lvlJc w:val="left"/>
      <w:lvlText w:val="(%1)"/>
      <w:numFmt w:val="lowerRoman"/>
      <w:start w:val="3"/>
    </w:lvl>
  </w:abstractNum>
  <w:abstractNum w:abstractNumId="4">
    <w:nsid w:val="41B71EFB"/>
    <w:multiLevelType w:val="hybridMultilevel"/>
    <w:lvl w:ilvl="0">
      <w:lvlJc w:val="left"/>
      <w:lvlText w:val="%1"/>
      <w:numFmt w:val="lowerLetter"/>
      <w:start w:val="1"/>
    </w:lvl>
    <w:lvl w:ilvl="1">
      <w:lvlJc w:val="left"/>
      <w:lvlText w:val="(%2)"/>
      <w:numFmt w:val="decimal"/>
      <w:start w:val="2"/>
    </w:lvl>
  </w:abstractNum>
  <w:abstractNum w:abstractNumId="5">
    <w:nsid w:val="79E2A9E3"/>
    <w:multiLevelType w:val="hybridMultilevel"/>
    <w:lvl w:ilvl="0">
      <w:lvlJc w:val="left"/>
      <w:lvlText w:val="(%1)"/>
      <w:numFmt w:val="lowerLetter"/>
      <w:start w:val="2"/>
    </w:lvl>
    <w:lvl w:ilvl="1">
      <w:lvlJc w:val="left"/>
      <w:lvlText w:val="%2"/>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17" Type="http://schemas.openxmlformats.org/officeDocument/2006/relationships/hyperlink" Target="http://www.sec.gov/Archives/edgar/data/1932770/000119312523014701/d715255d424b4.htm" TargetMode="External"/><Relationship Id="rId18" Type="http://schemas.openxmlformats.org/officeDocument/2006/relationships/hyperlink" Target="http://www.sec.gov/Archives/edgar/data/1932770/000119312523007178/d448304d8a12b.htm" TargetMode="External"/><Relationship Id="rId19" Type="http://schemas.openxmlformats.org/officeDocument/2006/relationships/hyperlink" Target="http://www.sec.gov/Archives/edgar/data/1932770/000119312522309126/d715255df1.htm" TargetMode="External"/><Relationship Id="rId23" Type="http://schemas.openxmlformats.org/officeDocument/2006/relationships/hyperlink" Target="http://www.sec.gov/Archives/edgar/data/1932770/000119312522309126/d715255dex32.htm" TargetMode="External"/><Relationship Id="rId24" Type="http://schemas.openxmlformats.org/officeDocument/2006/relationships/hyperlink" Target="http://www.sec.gov/Archives/edgar/data/1932770/000119312522309126/d715255dex42.htm" TargetMode="External"/><Relationship Id="rId25" Type="http://schemas.openxmlformats.org/officeDocument/2006/relationships/hyperlink" Target="http://www.sec.gov/Archives/edgar/data/1932770/000119312523008410/d715255dex43.htm" TargetMode="External"/><Relationship Id="rId26" Type="http://schemas.openxmlformats.org/officeDocument/2006/relationships/hyperlink" Target="http://www.sec.gov/Archives/edgar/data/1932770/000119312522309126/d715255dex44.htm" TargetMode="External"/><Relationship Id="rId27" Type="http://schemas.openxmlformats.org/officeDocument/2006/relationships/hyperlink" Target="http://www.sec.gov/Archives/edgar/data/1932770/000119312522309126/d715255dex101.htm" TargetMode="External"/><Relationship Id="rId28" Type="http://schemas.openxmlformats.org/officeDocument/2006/relationships/hyperlink" Target="http://www.sec.gov/Archives/edgar/data/1932770/000119312522309126/d71525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2023-03-30T15:34:18Z</dcterms:created>
  <dcterms:modified xsi:type="dcterms:W3CDTF">2023-03-30T15:34:18Z</dcterms:modified>
</cp:coreProperties>
</file>