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333-268907</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3,250,000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79375</wp:posOffset>
            </wp:positionV>
            <wp:extent cx="1384935" cy="514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935" cy="514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QuantaSing Group Limited</w:t>
      </w:r>
    </w:p>
    <w:p>
      <w:pPr>
        <w:spacing w:after="0" w:line="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Representing 9,750,000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159385</wp:posOffset>
            </wp:positionV>
            <wp:extent cx="1443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84" w:lineRule="exact"/>
        <w:rPr>
          <w:sz w:val="24"/>
          <w:szCs w:val="24"/>
          <w:color w:val="auto"/>
        </w:rPr>
      </w:pPr>
    </w:p>
    <w:p>
      <w:pPr>
        <w:ind w:left="200" w:firstLine="325"/>
        <w:spacing w:after="0" w:line="271" w:lineRule="auto"/>
        <w:rPr>
          <w:sz w:val="20"/>
          <w:szCs w:val="20"/>
          <w:color w:val="auto"/>
        </w:rPr>
      </w:pPr>
      <w:r>
        <w:rPr>
          <w:rFonts w:ascii="Times New Roman" w:cs="Times New Roman" w:eastAsia="Times New Roman" w:hAnsi="Times New Roman"/>
          <w:sz w:val="13"/>
          <w:szCs w:val="13"/>
          <w:color w:val="auto"/>
        </w:rPr>
        <w:t>This is an initial public offering of 3,250,000 American Depositary Shares (“ADSs”) by QuantaSing Group Limited. Each ADS represents three of our Class A ordinary shares, par value US$0.0001 per share.</w:t>
      </w:r>
    </w:p>
    <w:p>
      <w:pPr>
        <w:spacing w:after="0" w:line="8" w:lineRule="exact"/>
        <w:rPr>
          <w:sz w:val="24"/>
          <w:szCs w:val="24"/>
          <w:color w:val="auto"/>
        </w:rPr>
      </w:pPr>
    </w:p>
    <w:p>
      <w:pPr>
        <w:ind w:left="200" w:right="260" w:firstLine="325"/>
        <w:spacing w:after="0" w:line="271"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the ADSs. We have been approved to list the ADSs on the Nasdaq Global Market, under the symbol “QSG.” The initial public offering price is US$12.50 per ADS.</w:t>
      </w:r>
    </w:p>
    <w:p>
      <w:pPr>
        <w:spacing w:after="0" w:line="8" w:lineRule="exact"/>
        <w:rPr>
          <w:sz w:val="24"/>
          <w:szCs w:val="24"/>
          <w:color w:val="auto"/>
        </w:rPr>
      </w:pPr>
    </w:p>
    <w:p>
      <w:pPr>
        <w:jc w:val="both"/>
        <w:ind w:left="200" w:firstLine="325"/>
        <w:spacing w:after="0" w:line="247" w:lineRule="auto"/>
        <w:tabs>
          <w:tab w:leader="none" w:pos="714"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entities affiliated with DCM, one of our principal shareholders and an affiliate of one of our directors, and (2) Harvest International Premium Value (Secondary Market) Fund SPC for the account of Harvest Great Bay Investment SP, an investment fund managed by Harvest Global Capital Investments Limited, have subscribed for, and have been allocated by, the underwriters, an aggregate of 400,000 and 800,000 ADSs at the initial public offering price and on the same terms as the other ADSs being offered, respectively. The underwriters will receive the same underwriting discounts and commissions on any ADSs purchased by these investors as they will on any other ADSs sold to the public in this offering.</w:t>
      </w:r>
    </w:p>
    <w:p>
      <w:pPr>
        <w:spacing w:after="0" w:line="23" w:lineRule="exact"/>
        <w:rPr>
          <w:sz w:val="24"/>
          <w:szCs w:val="24"/>
          <w:color w:val="auto"/>
        </w:rPr>
      </w:pPr>
    </w:p>
    <w:p>
      <w:pPr>
        <w:ind w:left="200" w:right="60" w:firstLine="325"/>
        <w:spacing w:after="0" w:line="242" w:lineRule="auto"/>
        <w:rPr>
          <w:sz w:val="20"/>
          <w:szCs w:val="20"/>
          <w:color w:val="auto"/>
        </w:rPr>
      </w:pPr>
      <w:r>
        <w:rPr>
          <w:rFonts w:ascii="Times New Roman" w:cs="Times New Roman" w:eastAsia="Times New Roman" w:hAnsi="Times New Roman"/>
          <w:sz w:val="13"/>
          <w:szCs w:val="13"/>
          <w:color w:val="auto"/>
        </w:rPr>
        <w:t>Upon the completion of this offering, we will have 115,377,220 Class A ordinary shares issued and outstanding and 49,859,049 Class B ordinary shares issued and outstanding, assuming the underwriters do not exercise their option to purchase additional ADSs. Mr. Peng Li, our founder, chairman and chief executive officer, will beneficially own all of such issued Class B ordinary shares and will be able to exercise 81.2% of the total voting power of such issued and outstanding share capital immediately following the completion of this offering, assuming that the underwriters do not exercise their option to purchase additional ADSs. Holders of Class A ordinary shares and Class B ordinary shares have the same rights except for voting and conversion rights. Holder of each Class A ordinary share is entitled to one vote, and holder of each Class B ordinary share is entitled to ten votes. At the option of the holder of Class B ordinary shares, each Class B ordinary share is convertible into one Class A ordinary share at any time. Class A ordinary shares are not convertible into Class B ordinary shares under any circumstances. For further information, see “Description of Share Capital.”</w:t>
      </w:r>
    </w:p>
    <w:p>
      <w:pPr>
        <w:spacing w:after="0" w:line="26" w:lineRule="exact"/>
        <w:rPr>
          <w:sz w:val="24"/>
          <w:szCs w:val="24"/>
          <w:color w:val="auto"/>
        </w:rPr>
      </w:pPr>
    </w:p>
    <w:p>
      <w:pPr>
        <w:ind w:left="200" w:right="40" w:firstLine="325"/>
        <w:spacing w:after="0" w:line="271" w:lineRule="auto"/>
        <w:rPr>
          <w:sz w:val="20"/>
          <w:szCs w:val="20"/>
          <w:color w:val="auto"/>
        </w:rPr>
      </w:pPr>
      <w:r>
        <w:rPr>
          <w:rFonts w:ascii="Times New Roman" w:cs="Times New Roman" w:eastAsia="Times New Roman" w:hAnsi="Times New Roman"/>
          <w:sz w:val="13"/>
          <w:szCs w:val="13"/>
          <w:color w:val="auto"/>
        </w:rPr>
        <w:t>We are an “emerging growth company” as that term is used in the Jumpstart Our Business Startups Act of 2012, as amended, and, as such, may elect to comply with certain reduced public company reporting requirements in future reports after the completion of this offering.</w:t>
      </w:r>
    </w:p>
    <w:p>
      <w:pPr>
        <w:spacing w:after="0" w:line="8" w:lineRule="exact"/>
        <w:rPr>
          <w:sz w:val="24"/>
          <w:szCs w:val="24"/>
          <w:color w:val="auto"/>
        </w:rPr>
      </w:pPr>
    </w:p>
    <w:p>
      <w:pPr>
        <w:jc w:val="both"/>
        <w:ind w:left="200" w:right="60" w:firstLine="325"/>
        <w:spacing w:after="0"/>
        <w:rPr>
          <w:sz w:val="20"/>
          <w:szCs w:val="20"/>
          <w:color w:val="auto"/>
        </w:rPr>
      </w:pPr>
      <w:r>
        <w:rPr>
          <w:rFonts w:ascii="Times New Roman" w:cs="Times New Roman" w:eastAsia="Times New Roman" w:hAnsi="Times New Roman"/>
          <w:sz w:val="13"/>
          <w:szCs w:val="13"/>
          <w:color w:val="auto"/>
        </w:rPr>
        <w:t>Upon the completion of this offering, we will be a “controlled company” as defined under corporate governance rules of the Nasdaq Stock Market, because Mr. Peng Li, our founder, chairman and chief executive officer, will beneficially own 30.2% of our then issued and outstanding ordinary shares and will be able to exercise 81.2% of the total voting power of our issued and outstanding ordinary shares immediately after the consummation of this offering, assuming the underwriters do not exercise their option to purchase additional ADSs. As a result, Mr. Peng Li will have the ability to control or significantly influence the outcome of matters requiring approval by shareholders. For further information, see “Principal Shareholders” and “Risk Factor — Risks Related to the ADSs and this Offering</w:t>
      </w:r>
    </w:p>
    <w:p>
      <w:pPr>
        <w:spacing w:after="0" w:line="1" w:lineRule="exact"/>
        <w:rPr>
          <w:sz w:val="24"/>
          <w:szCs w:val="24"/>
          <w:color w:val="auto"/>
        </w:rPr>
      </w:pPr>
    </w:p>
    <w:p>
      <w:pPr>
        <w:ind w:left="200" w:right="120"/>
        <w:spacing w:after="0" w:line="249" w:lineRule="auto"/>
        <w:rPr>
          <w:sz w:val="24"/>
          <w:szCs w:val="24"/>
          <w:color w:val="auto"/>
        </w:rPr>
      </w:pPr>
      <w:r>
        <w:rPr>
          <w:rFonts w:ascii="Times New Roman" w:cs="Times New Roman" w:eastAsia="Times New Roman" w:hAnsi="Times New Roman"/>
          <w:sz w:val="13"/>
          <w:szCs w:val="13"/>
          <w:color w:val="auto"/>
        </w:rPr>
        <w:t>— We will be a “controlled company” within the meaning of the Nasdaq Stock Market listing rules and, as a result, may rely on exemptions from certain corporate governance requirements that provide protection to shareholders of other companies.”</w:t>
      </w:r>
    </w:p>
    <w:p>
      <w:pPr>
        <w:spacing w:after="0" w:line="22" w:lineRule="exact"/>
        <w:rPr>
          <w:sz w:val="24"/>
          <w:szCs w:val="24"/>
          <w:color w:val="auto"/>
        </w:rPr>
      </w:pPr>
    </w:p>
    <w:p>
      <w:pPr>
        <w:ind w:left="200" w:firstLine="325"/>
        <w:spacing w:after="0" w:line="237" w:lineRule="auto"/>
        <w:rPr>
          <w:sz w:val="20"/>
          <w:szCs w:val="20"/>
          <w:color w:val="auto"/>
        </w:rPr>
      </w:pPr>
      <w:r>
        <w:rPr>
          <w:rFonts w:ascii="Times New Roman" w:cs="Times New Roman" w:eastAsia="Times New Roman" w:hAnsi="Times New Roman"/>
          <w:sz w:val="13"/>
          <w:szCs w:val="13"/>
          <w:color w:val="auto"/>
        </w:rPr>
        <w:t>QuantaSing Group Limited is a Cayman Islands holding company and not a Chinese operating company. We carry out our business in China through our wholly-owned PRC subsidiary (“WFOE”) and its contractual arrangements, commonly known as the VIE structure, with a variable interest entity (the “VIE”) and its subsidiaries (collectively, the “affiliated entities”) based in China. The VIE structure is used to provide investors with exposure to foreign investment in China-based companies where the PRC law restricts direct foreign investment in certain operating companies, such as certain value-added telecommunication services and other internet related business. Neither QuantaSing Group Limited nor our WFOE owns any equity interests in the affiliated entities. Our contractual arrangements with the VIE and its nominee shareholder are not equivalent of an investment in the equity interest of the VIE, and investors may never hold equity interests in the Chinese operating companies, including the affiliated entities. Instead, we are regarded as the primary beneficiary of the VIE and consolidate the financial results of the affiliated entities under U.S. GAAP in light of the VIE structure. Investors in the ADSs are purchasing the equity securities of QuantaSing Group Limited, the Cayman Islands holding company, rather than the equity securities of the affiliated entities. As used in this prospectus, “we,” “us,” “our company,” “our,” “QuantaSing,” or “QuantaSing Group” refers to QuantaSing Group Limited, together as a group with its subsidiaries, and, in the context of describing the substantive operations and financial information relating to such operations of QuantaSing Group Limited and its subsidiaries and the affiliated entities as a whole, refers to QuantaSing Group Limited and its subsidiaries and the affiliated entities. The VIE structure involves unique risks to investors in the ADSs. It may not provide effective operational control over the affiliated entities and also faces risks and uncertainties associated with, among others, the interpretation and the application of the current and future PRC laws, regulations and rules to such contractual arrangements. As of the date of this prospectus, the agreements under the contractual arrangements among our WFOE, the VIE and its nominee shareholder have not been tested in a court of law. If the PRC regulatory authorities find these contractual arrangements non-compliant with the restrictions on direct foreign investment in the relevant industries, or if the relevant PRC laws, regulations and rules or their interpretation change in the future, we could be subject to severe penalties or be forced to relinquish our interests in the VIE or forfeit our rights under the contractual arrangements. The PRC regulatory authorities could disallow the VIE structure at any time in the future, which would cause a material adverse change in our operations and cause the value of our securities you invested in this offering to significantly decline or become worthless. For further information, see “Risk Factors — Risks Related to Our Corporate Structure.”</w:t>
      </w:r>
    </w:p>
    <w:p>
      <w:pPr>
        <w:spacing w:after="0" w:line="31" w:lineRule="exact"/>
        <w:rPr>
          <w:sz w:val="24"/>
          <w:szCs w:val="24"/>
          <w:color w:val="auto"/>
        </w:rPr>
      </w:pPr>
    </w:p>
    <w:p>
      <w:pPr>
        <w:ind w:left="200" w:firstLine="325"/>
        <w:spacing w:after="0"/>
        <w:rPr>
          <w:sz w:val="20"/>
          <w:szCs w:val="20"/>
          <w:color w:val="auto"/>
        </w:rPr>
      </w:pPr>
      <w:r>
        <w:rPr>
          <w:rFonts w:ascii="Times New Roman" w:cs="Times New Roman" w:eastAsia="Times New Roman" w:hAnsi="Times New Roman"/>
          <w:sz w:val="13"/>
          <w:szCs w:val="13"/>
          <w:color w:val="auto"/>
        </w:rPr>
        <w:t>We face various legal and operational risks and uncertainties related to doing business in China as we, through our WFOE and the affiliated entities, conduct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ADSs, significantly limit or completely hinder our ability to offer or continue to offer securities to investors, or cause the value of such securities to significantly decline or become worthless. For details, see “Risk Factors — Risks Related to Doing Business in China.”</w:t>
      </w:r>
    </w:p>
    <w:p>
      <w:pPr>
        <w:spacing w:after="0" w:line="27" w:lineRule="exact"/>
        <w:rPr>
          <w:sz w:val="24"/>
          <w:szCs w:val="24"/>
          <w:color w:val="auto"/>
        </w:rPr>
      </w:pPr>
    </w:p>
    <w:p>
      <w:pPr>
        <w:ind w:left="200" w:firstLine="325"/>
        <w:spacing w:after="0" w:line="238" w:lineRule="auto"/>
        <w:rPr>
          <w:sz w:val="20"/>
          <w:szCs w:val="20"/>
          <w:color w:val="auto"/>
        </w:rPr>
      </w:pPr>
      <w:r>
        <w:rPr>
          <w:rFonts w:ascii="Times New Roman" w:cs="Times New Roman" w:eastAsia="Times New Roman" w:hAnsi="Times New Roman"/>
          <w:sz w:val="13"/>
          <w:szCs w:val="13"/>
          <w:color w:val="auto"/>
        </w:rPr>
        <w:t>We are subject to a number of prohibitions, restrictions and potential delisting risk under the Holding Foreign Companies Accountable Act (the “HFCAA”). Our auditor, PricewaterhouseCoopers Zhong Tian LLP, is an independent registered accounting firm based in mainland China.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In August 2022, the PCAOB, the China Securities Regulatory Commission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w:t>
      </w:r>
    </w:p>
    <w:p>
      <w:pPr>
        <w:sectPr>
          <w:pgSz w:w="11900" w:h="16838" w:orient="portrait"/>
          <w:cols w:equalWidth="0" w:num="1">
            <w:col w:w="11040"/>
          </w:cols>
          <w:pgMar w:left="320" w:top="226"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5" w:lineRule="exact"/>
        <w:rPr>
          <w:sz w:val="20"/>
          <w:szCs w:val="20"/>
          <w:color w:val="auto"/>
        </w:rPr>
      </w:pPr>
    </w:p>
    <w:p>
      <w:pPr>
        <w:ind w:left="200" w:right="140"/>
        <w:spacing w:after="0" w:line="242" w:lineRule="auto"/>
        <w:rPr>
          <w:sz w:val="20"/>
          <w:szCs w:val="20"/>
          <w:color w:val="auto"/>
        </w:rPr>
      </w:pPr>
      <w:r>
        <w:rPr>
          <w:rFonts w:ascii="Times New Roman" w:cs="Times New Roman" w:eastAsia="Times New Roman" w:hAnsi="Times New Roman"/>
          <w:sz w:val="13"/>
          <w:szCs w:val="13"/>
          <w:color w:val="auto"/>
        </w:rPr>
        <w:t>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2023 and beyond, or if we otherwise fail to meet the PCAOB’s requirements, the ADSs will be delisted from the Nasdaq Stock Market, and our shares and ADSs will not be permitted for trading over the counter in the United States under the HFCAA and related regulations. For details, see “Risk Factors — Risks Related to Doing Business in China — The ADSs will be delisted and our shares and ADSs will be prohibited from trading in the over-the-counter market under the Holding Foreign Companies Accountable Act if the PCAOB is unable to inspect or investigate completely auditors located in China for two consecutive years. The delisting of the ADSs, or the threat of their being delisted, may materially and adversely affect the value of your investment.”</w:t>
      </w:r>
    </w:p>
    <w:p>
      <w:pPr>
        <w:spacing w:after="0" w:line="26" w:lineRule="exact"/>
        <w:rPr>
          <w:sz w:val="20"/>
          <w:szCs w:val="20"/>
          <w:color w:val="auto"/>
        </w:rPr>
      </w:pPr>
    </w:p>
    <w:p>
      <w:pPr>
        <w:ind w:left="200" w:right="20" w:firstLine="325"/>
        <w:spacing w:after="0" w:line="236" w:lineRule="auto"/>
        <w:rPr>
          <w:sz w:val="20"/>
          <w:szCs w:val="20"/>
          <w:color w:val="auto"/>
        </w:rPr>
      </w:pPr>
      <w:r>
        <w:rPr>
          <w:rFonts w:ascii="Times New Roman" w:cs="Times New Roman" w:eastAsia="Times New Roman" w:hAnsi="Times New Roman"/>
          <w:sz w:val="13"/>
          <w:szCs w:val="13"/>
          <w:color w:val="auto"/>
        </w:rPr>
        <w:t>Cash may be transferred among QuantaSing Group Limited, our WFOE and the VIE, in the following manners: (1) funds may be transferred to our WFOE from QuantaSing Group Limited as needed through our subsidiaries in the BVI and/or Hong Kong in the form of capital contribution or shareholder loan, as the case may be; (2) funds may be paid by the VIE to our WFOE, as service fees according to the contractual arrangements; (3) dividends or other distributions may be paid by our WFOE to QuantaSing Group Limited through our subsidiaries in Hong Kong and the BVI; and (4) our WFOE and the VIE may lend to and borrow from each other from time to time for business operation purposes. In the fiscal years ended June 30, 2021 and 2022, and the three months ended September 30, 2021 and 2022, the total amount of the service fees that the VIE paid to our WFOE under the contractual arrangements was RMB204.1 million, RMB239.6 million, RMB13.0 million, and RMB60.5 million, respectively. As of June 30, 2021 and 2022 and September 30, 2022, (1) the aggregate amount of capital contribution by EW Technology Limited to our subsidiaries in the BVI and Hong Kong was nil, RMB51.7 million and RMB51.7 million, respectively; (2) the aggregate amount of capital contribution by QuantaSing Group Limited to our subsidiaries in the BVI and Hong Kong was nil, RMB47.1 million and RMB47.1 million, respectively; (3) the aggregate amount of capital contribution by QuantaSing Group Limited to our WFOE through our subsidiaries in the BVI and Hong Kong was nil, RMB64.2 million and RMB64.2 million, respectively; and (4) the outstanding balance of the principal amount of loans by our WFOE to the VIE was RMB7.0 million, nil and nil, respectively; and (5) the outstanding balance of the principal amount of loans by the VIE to our WFOE was nil, RMB156.0 million, and RMB130.2 million, respectively. For the fiscal years ended June 30, 2021 and 2022, and the three months ended September 30, 2021, the net cash transferred by the VIE to our WFOE was nil, RMB156.0 million and RMB21.0 million, respectively, in addition to the service fees paid under the contractual arrangements. For the three months ended September 30, 2022, the net cash repaid by our WFOE to the VIE was RMB25.8 million. In the fiscal years ended June 30, 2021 and 2022, except as disclosed above, there was no other cash transfer within our organization, and no assets other than cash were transferred within our organization. As of the date of this prospectus, none of QuantaSing Group Limited, our WFOE and the VIE has paid any dividends or made any distributions to their respective shareholder(s), including any U.S. investors. For details, see “Prospectus Summary — Summary Consolidated Financial and Operating Data — Consolidated Financial Statements,” “Prospectus Summary — Summary Consolidated Financial and Operating Data — Financial Information Relating to the Affiliated Entities” and “Prospectus Summary — Implications of Being a Company with the Holding Company Structure and the VIE Structure — Cash and asset flows through our organization.” We expect to continue to distribute earnings and settle the service fees owed under the VIE agreements at the request of our WFOE and based on our business needs, and we do not expect to declare dividends in the foreseeable future. We currently have not maintained any cash management policies that specifically dictate how funds shall be transferred among QuantaSing Group Limited, the subsidiaries of QuantaSing Group Limited (including our WFOE), the affiliated entities and investors. We will determine the payment of dividends and fund transfer based on our specific business needs in accordance with the applicable laws and regulations. See “Prospectus Summary — Dividend Distribution and Taxation.”</w:t>
      </w:r>
    </w:p>
    <w:p>
      <w:pPr>
        <w:spacing w:after="0" w:line="38" w:lineRule="exact"/>
        <w:rPr>
          <w:sz w:val="20"/>
          <w:szCs w:val="20"/>
          <w:color w:val="auto"/>
        </w:rPr>
      </w:pPr>
    </w:p>
    <w:p>
      <w:pPr>
        <w:ind w:left="200" w:right="20" w:firstLine="325"/>
        <w:spacing w:after="0" w:line="237" w:lineRule="auto"/>
        <w:rPr>
          <w:sz w:val="20"/>
          <w:szCs w:val="20"/>
          <w:color w:val="auto"/>
        </w:rPr>
      </w:pPr>
      <w:r>
        <w:rPr>
          <w:rFonts w:ascii="Times New Roman" w:cs="Times New Roman" w:eastAsia="Times New Roman" w:hAnsi="Times New Roman"/>
          <w:sz w:val="13"/>
          <w:szCs w:val="13"/>
          <w:color w:val="auto"/>
        </w:rPr>
        <w:t>To the extent our cash or assets in the business are in mainland China or Hong Kong or a mainland China or Hong Kong entity, the funds or assets may not be available to fund operations or for other use outside of mainland China or Hong Kong due to interventions in or the imposition of restrictions and limitations on the ability of QuantaSing Group Limited, our subsidiaries or the affiliated entities to transfer cash or assets. The PRC government imposes controls on the convertibility of RMB into foreign currencies and the remittance of funds out of China, which may restrict the transfer of cash between QuantaSing Group Limited, our subsidiaries, the affiliated entities or the investors. Under PRC laws and regulations, our WFOE and the affiliated entities are subject to certain restrictions with respect to payment of dividends or otherwise transfers of any of their net assets to us. Remittance of dividends by our WFOE out of China is also subject to certain procedures with the banks designated by the PRC State Administration of Foreign Exchange. These restrictions are benchmarked against the paid-up capital and the statutory reserve funds of our WFOE and the net assets of the VIE in which we have no legal ownership. While there are currently no such restrictions on foreign exchange and our ability to transfer cash or assets between QuantaSing Group Limited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QuantaSing Group Limited, its subsidiaries and the affiliated entities to transfer or distribute cash within the organization, which could result in an inability of or prohibition on making transfers or distributions to entities outside of mainland China and Hong Kong. For details, see “Prospectus Summary — Implications of Being a Company with the Holding Company Structure and the VIE Structure — Cash and asset flows through our organization,” “Prospectus Summary — Risks and Challenges — Risks Related to Doing Business in China,” “Risk Factors — Risks Related to Doing Business in China — We rely on dividends and other distributions on equity paid by our WFOE to fund any cash and financing requirements we may have, and any limitation on the ability of our WFOE to make payments to us could have a material and adverse effect on our ability to conduct our business,” and “Risk Factors — Risks Related to Doing Business in China — Restrictions on the remittance of Renminbi into and out of China and governmental control of currency conversion may limit our ability to pay dividends and other obligations, and affect the value of your investment.”</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31 to read about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125730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29" w:lineRule="exact"/>
        <w:rPr>
          <w:sz w:val="20"/>
          <w:szCs w:val="20"/>
          <w:color w:val="auto"/>
        </w:rPr>
      </w:pPr>
    </w:p>
    <w:p>
      <w:pPr>
        <w:ind w:left="200" w:right="520" w:firstLine="325"/>
        <w:spacing w:after="0" w:line="27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88265</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PRICE US$12.50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87630</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0"/>
        </w:trPr>
        <w:tc>
          <w:tcPr>
            <w:tcW w:w="560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Initial public offering price</w:t>
            </w:r>
          </w:p>
        </w:tc>
        <w:tc>
          <w:tcPr>
            <w:tcW w:w="3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w w:val="94"/>
              </w:rPr>
              <w:t>US$</w:t>
            </w:r>
          </w:p>
        </w:tc>
        <w:tc>
          <w:tcPr>
            <w:tcW w:w="3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95"/>
              </w:rPr>
              <w:t>12.50</w:t>
            </w:r>
          </w:p>
        </w:tc>
        <w:tc>
          <w:tcPr>
            <w:tcW w:w="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86"/>
              </w:rPr>
              <w:t>US$</w:t>
            </w:r>
          </w:p>
        </w:tc>
        <w:tc>
          <w:tcPr>
            <w:tcW w:w="6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99"/>
              </w:rPr>
              <w:t>40,625,000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46"/>
        </w:trPr>
        <w:tc>
          <w:tcPr>
            <w:tcW w:w="5600" w:type="dxa"/>
            <w:vAlign w:val="bottom"/>
          </w:tcPr>
          <w:p>
            <w:pPr>
              <w:spacing w:after="0" w:line="146" w:lineRule="exact"/>
              <w:rPr>
                <w:sz w:val="20"/>
                <w:szCs w:val="20"/>
                <w:color w:val="auto"/>
              </w:rPr>
            </w:pPr>
            <w:r>
              <w:rPr>
                <w:rFonts w:ascii="Times New Roman" w:cs="Times New Roman" w:eastAsia="Times New Roman" w:hAnsi="Times New Roman"/>
                <w:sz w:val="11"/>
                <w:szCs w:val="11"/>
                <w:color w:val="auto"/>
              </w:rPr>
              <w:t>Underwriting discounts and commissions</w:t>
            </w:r>
            <w:r>
              <w:rPr>
                <w:rFonts w:ascii="Times New Roman" w:cs="Times New Roman" w:eastAsia="Times New Roman" w:hAnsi="Times New Roman"/>
                <w:sz w:val="16"/>
                <w:szCs w:val="16"/>
                <w:color w:val="auto"/>
                <w:vertAlign w:val="superscript"/>
              </w:rPr>
              <w:t>(1)</w:t>
            </w:r>
          </w:p>
        </w:tc>
        <w:tc>
          <w:tcPr>
            <w:tcW w:w="3520" w:type="dxa"/>
            <w:vAlign w:val="bottom"/>
            <w:gridSpan w:val="2"/>
          </w:tcPr>
          <w:p>
            <w:pPr>
              <w:ind w:left="3280"/>
              <w:spacing w:after="0" w:line="146" w:lineRule="exact"/>
              <w:rPr>
                <w:sz w:val="20"/>
                <w:szCs w:val="20"/>
                <w:color w:val="auto"/>
              </w:rPr>
            </w:pPr>
            <w:r>
              <w:rPr>
                <w:rFonts w:ascii="Times New Roman" w:cs="Times New Roman" w:eastAsia="Times New Roman" w:hAnsi="Times New Roman"/>
                <w:sz w:val="13"/>
                <w:szCs w:val="13"/>
                <w:color w:val="auto"/>
                <w:w w:val="94"/>
              </w:rPr>
              <w:t>US$</w:t>
            </w:r>
          </w:p>
        </w:tc>
        <w:tc>
          <w:tcPr>
            <w:tcW w:w="3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1.06</w:t>
            </w:r>
          </w:p>
        </w:tc>
        <w:tc>
          <w:tcPr>
            <w:tcW w:w="7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US$</w:t>
            </w:r>
          </w:p>
        </w:tc>
        <w:tc>
          <w:tcPr>
            <w:tcW w:w="6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3,453,125</w:t>
            </w:r>
          </w:p>
        </w:tc>
        <w:tc>
          <w:tcPr>
            <w:tcW w:w="40" w:type="dxa"/>
            <w:vAlign w:val="bottom"/>
          </w:tcPr>
          <w:p>
            <w:pPr>
              <w:spacing w:after="0"/>
              <w:rPr>
                <w:sz w:val="12"/>
                <w:szCs w:val="12"/>
                <w:color w:val="auto"/>
              </w:rPr>
            </w:pPr>
          </w:p>
        </w:tc>
      </w:tr>
      <w:tr>
        <w:trPr>
          <w:trHeight w:val="146"/>
        </w:trPr>
        <w:tc>
          <w:tcPr>
            <w:tcW w:w="56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Proceeds, before expenses to us</w:t>
            </w:r>
            <w:r>
              <w:rPr>
                <w:rFonts w:ascii="Times New Roman" w:cs="Times New Roman" w:eastAsia="Times New Roman" w:hAnsi="Times New Roman"/>
                <w:sz w:val="16"/>
                <w:szCs w:val="16"/>
                <w:color w:val="auto"/>
                <w:vertAlign w:val="superscript"/>
              </w:rPr>
              <w:t>(2)</w:t>
            </w:r>
          </w:p>
        </w:tc>
        <w:tc>
          <w:tcPr>
            <w:tcW w:w="3520" w:type="dxa"/>
            <w:vAlign w:val="bottom"/>
            <w:gridSpan w:val="2"/>
            <w:shd w:val="clear" w:color="auto" w:fill="CCEEFF"/>
          </w:tcPr>
          <w:p>
            <w:pPr>
              <w:ind w:left="3280"/>
              <w:spacing w:after="0" w:line="146" w:lineRule="exact"/>
              <w:rPr>
                <w:sz w:val="20"/>
                <w:szCs w:val="20"/>
                <w:color w:val="auto"/>
              </w:rPr>
            </w:pPr>
            <w:r>
              <w:rPr>
                <w:rFonts w:ascii="Times New Roman" w:cs="Times New Roman" w:eastAsia="Times New Roman" w:hAnsi="Times New Roman"/>
                <w:sz w:val="13"/>
                <w:szCs w:val="13"/>
                <w:color w:val="auto"/>
                <w:w w:val="94"/>
              </w:rPr>
              <w:t>US$</w:t>
            </w:r>
          </w:p>
        </w:tc>
        <w:tc>
          <w:tcPr>
            <w:tcW w:w="3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5"/>
              </w:rPr>
              <w:t>11.44</w:t>
            </w:r>
          </w:p>
        </w:tc>
        <w:tc>
          <w:tcPr>
            <w:tcW w:w="76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US$</w:t>
            </w:r>
          </w:p>
        </w:tc>
        <w:tc>
          <w:tcPr>
            <w:tcW w:w="6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9"/>
              </w:rPr>
              <w:t>37,171,875</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520" w:hanging="321"/>
        <w:spacing w:after="0"/>
        <w:tabs>
          <w:tab w:leader="none" w:pos="5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the section titled “Underwriting” for a description of the compensation payable to the underwriters.</w:t>
      </w:r>
    </w:p>
    <w:p>
      <w:pPr>
        <w:spacing w:after="0" w:line="14" w:lineRule="exact"/>
        <w:rPr>
          <w:rFonts w:ascii="Times New Roman" w:cs="Times New Roman" w:eastAsia="Times New Roman" w:hAnsi="Times New Roman"/>
          <w:sz w:val="12"/>
          <w:szCs w:val="12"/>
          <w:color w:val="auto"/>
        </w:rPr>
      </w:pPr>
    </w:p>
    <w:p>
      <w:pPr>
        <w:ind w:left="520" w:hanging="321"/>
        <w:spacing w:after="0"/>
        <w:tabs>
          <w:tab w:leader="none" w:pos="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no exercise of the underwriters’ option to purchase additional ADSs.</w:t>
      </w:r>
    </w:p>
    <w:p>
      <w:pPr>
        <w:spacing w:after="0" w:line="36" w:lineRule="exact"/>
        <w:rPr>
          <w:sz w:val="20"/>
          <w:szCs w:val="20"/>
          <w:color w:val="auto"/>
        </w:rPr>
      </w:pPr>
    </w:p>
    <w:p>
      <w:pPr>
        <w:ind w:left="200" w:right="140" w:firstLine="325"/>
        <w:spacing w:after="0" w:line="271" w:lineRule="auto"/>
        <w:rPr>
          <w:sz w:val="20"/>
          <w:szCs w:val="20"/>
          <w:color w:val="auto"/>
        </w:rPr>
      </w:pPr>
      <w:r>
        <w:rPr>
          <w:rFonts w:ascii="Times New Roman" w:cs="Times New Roman" w:eastAsia="Times New Roman" w:hAnsi="Times New Roman"/>
          <w:sz w:val="13"/>
          <w:szCs w:val="13"/>
          <w:color w:val="auto"/>
        </w:rPr>
        <w:t>The underwriters have an option to purchase up to an additional 487,500 ADSs from us at the initial public offering price less the underwriting discounts and commissions within 30 days from the date of this prospectus. The underwriters expect to deliver the ADSs against payment in New York, on or about January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55245</wp:posOffset>
            </wp:positionV>
            <wp:extent cx="1443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305"/>
        </w:trPr>
        <w:tc>
          <w:tcPr>
            <w:tcW w:w="2960" w:type="dxa"/>
            <w:vAlign w:val="bottom"/>
          </w:tcPr>
          <w:p>
            <w:pPr>
              <w:jc w:val="center"/>
              <w:ind w:right="1898"/>
              <w:spacing w:after="0"/>
              <w:rPr>
                <w:sz w:val="20"/>
                <w:szCs w:val="20"/>
                <w:color w:val="auto"/>
              </w:rPr>
            </w:pPr>
            <w:r>
              <w:rPr>
                <w:rFonts w:ascii="Times New Roman" w:cs="Times New Roman" w:eastAsia="Times New Roman" w:hAnsi="Times New Roman"/>
                <w:sz w:val="23"/>
                <w:szCs w:val="23"/>
                <w:b w:val="1"/>
                <w:bCs w:val="1"/>
                <w:color w:val="auto"/>
              </w:rPr>
              <w:t>Citigroup</w:t>
            </w:r>
          </w:p>
        </w:tc>
        <w:tc>
          <w:tcPr>
            <w:tcW w:w="2280" w:type="dxa"/>
            <w:vAlign w:val="bottom"/>
          </w:tcPr>
          <w:p>
            <w:pPr>
              <w:spacing w:after="0"/>
              <w:rPr>
                <w:sz w:val="24"/>
                <w:szCs w:val="24"/>
                <w:color w:val="auto"/>
              </w:rPr>
            </w:pPr>
          </w:p>
        </w:tc>
        <w:tc>
          <w:tcPr>
            <w:tcW w:w="3460" w:type="dxa"/>
            <w:vAlign w:val="bottom"/>
          </w:tcPr>
          <w:p>
            <w:pPr>
              <w:jc w:val="center"/>
              <w:ind w:left="1538"/>
              <w:spacing w:after="0"/>
              <w:rPr>
                <w:sz w:val="20"/>
                <w:szCs w:val="20"/>
                <w:color w:val="auto"/>
              </w:rPr>
            </w:pPr>
            <w:r>
              <w:rPr>
                <w:rFonts w:ascii="Times New Roman" w:cs="Times New Roman" w:eastAsia="Times New Roman" w:hAnsi="Times New Roman"/>
                <w:sz w:val="23"/>
                <w:szCs w:val="23"/>
                <w:b w:val="1"/>
                <w:bCs w:val="1"/>
                <w:color w:val="auto"/>
                <w:w w:val="98"/>
              </w:rPr>
              <w:t>CICC</w:t>
            </w:r>
          </w:p>
        </w:tc>
      </w:tr>
      <w:tr>
        <w:trPr>
          <w:trHeight w:val="263"/>
        </w:trPr>
        <w:tc>
          <w:tcPr>
            <w:tcW w:w="2960" w:type="dxa"/>
            <w:vAlign w:val="bottom"/>
          </w:tcPr>
          <w:p>
            <w:pPr>
              <w:spacing w:after="0"/>
              <w:rPr>
                <w:sz w:val="22"/>
                <w:szCs w:val="22"/>
                <w:color w:val="auto"/>
              </w:rPr>
            </w:pPr>
          </w:p>
        </w:tc>
        <w:tc>
          <w:tcPr>
            <w:tcW w:w="5740" w:type="dxa"/>
            <w:vAlign w:val="bottom"/>
            <w:gridSpan w:val="2"/>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7"/>
              </w:rPr>
              <w:t>Tiger Brokers</w:t>
            </w:r>
          </w:p>
        </w:tc>
      </w:tr>
      <w:tr>
        <w:trPr>
          <w:trHeight w:val="452"/>
        </w:trPr>
        <w:tc>
          <w:tcPr>
            <w:tcW w:w="2960" w:type="dxa"/>
            <w:vAlign w:val="bottom"/>
          </w:tcPr>
          <w:p>
            <w:pPr>
              <w:jc w:val="center"/>
              <w:ind w:right="1898"/>
              <w:spacing w:after="0"/>
              <w:rPr>
                <w:sz w:val="20"/>
                <w:szCs w:val="20"/>
                <w:color w:val="auto"/>
              </w:rPr>
            </w:pPr>
            <w:r>
              <w:rPr>
                <w:rFonts w:ascii="Times New Roman" w:cs="Times New Roman" w:eastAsia="Times New Roman" w:hAnsi="Times New Roman"/>
                <w:sz w:val="18"/>
                <w:szCs w:val="18"/>
                <w:b w:val="1"/>
                <w:bCs w:val="1"/>
                <w:color w:val="auto"/>
                <w:w w:val="99"/>
              </w:rPr>
              <w:t>CLSA</w:t>
            </w:r>
          </w:p>
        </w:tc>
        <w:tc>
          <w:tcPr>
            <w:tcW w:w="2280" w:type="dxa"/>
            <w:vAlign w:val="bottom"/>
          </w:tcPr>
          <w:p>
            <w:pPr>
              <w:spacing w:after="0"/>
              <w:rPr>
                <w:sz w:val="24"/>
                <w:szCs w:val="24"/>
                <w:color w:val="auto"/>
              </w:rPr>
            </w:pPr>
          </w:p>
        </w:tc>
        <w:tc>
          <w:tcPr>
            <w:tcW w:w="3460" w:type="dxa"/>
            <w:vAlign w:val="bottom"/>
          </w:tcPr>
          <w:p>
            <w:pPr>
              <w:jc w:val="center"/>
              <w:ind w:left="1558"/>
              <w:spacing w:after="0"/>
              <w:rPr>
                <w:sz w:val="20"/>
                <w:szCs w:val="20"/>
                <w:color w:val="auto"/>
              </w:rPr>
            </w:pPr>
            <w:r>
              <w:rPr>
                <w:rFonts w:ascii="Times New Roman" w:cs="Times New Roman" w:eastAsia="Times New Roman" w:hAnsi="Times New Roman"/>
                <w:sz w:val="18"/>
                <w:szCs w:val="18"/>
                <w:b w:val="1"/>
                <w:bCs w:val="1"/>
                <w:color w:val="auto"/>
                <w:w w:val="98"/>
              </w:rPr>
              <w:t>Univest Securities, LLC</w:t>
            </w:r>
          </w:p>
        </w:tc>
      </w:tr>
      <w:tr>
        <w:trPr>
          <w:trHeight w:val="185"/>
        </w:trPr>
        <w:tc>
          <w:tcPr>
            <w:tcW w:w="296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3460" w:type="dxa"/>
            <w:vAlign w:val="bottom"/>
          </w:tcPr>
          <w:p>
            <w:pPr>
              <w:spacing w:after="0"/>
              <w:rPr>
                <w:sz w:val="16"/>
                <w:szCs w:val="16"/>
                <w:color w:val="auto"/>
              </w:rPr>
            </w:pPr>
          </w:p>
        </w:tc>
      </w:tr>
      <w:tr>
        <w:trPr>
          <w:trHeight w:val="225"/>
        </w:trPr>
        <w:tc>
          <w:tcPr>
            <w:tcW w:w="2960" w:type="dxa"/>
            <w:vAlign w:val="bottom"/>
          </w:tcPr>
          <w:p>
            <w:pPr>
              <w:spacing w:after="0"/>
              <w:rPr>
                <w:sz w:val="19"/>
                <w:szCs w:val="19"/>
                <w:color w:val="auto"/>
              </w:rPr>
            </w:pPr>
          </w:p>
        </w:tc>
        <w:tc>
          <w:tcPr>
            <w:tcW w:w="5740" w:type="dxa"/>
            <w:vAlign w:val="bottom"/>
            <w:gridSpan w:val="2"/>
          </w:tcPr>
          <w:p>
            <w:pPr>
              <w:jc w:val="center"/>
              <w:ind w:right="3358"/>
              <w:spacing w:after="0"/>
              <w:rPr>
                <w:sz w:val="20"/>
                <w:szCs w:val="20"/>
                <w:color w:val="auto"/>
              </w:rPr>
            </w:pPr>
            <w:r>
              <w:rPr>
                <w:rFonts w:ascii="Times New Roman" w:cs="Times New Roman" w:eastAsia="Times New Roman" w:hAnsi="Times New Roman"/>
                <w:sz w:val="15"/>
                <w:szCs w:val="15"/>
                <w:b w:val="1"/>
                <w:bCs w:val="1"/>
                <w:color w:val="auto"/>
              </w:rPr>
              <w:t>Prospectus dated January 24, 2023</w:t>
            </w:r>
          </w:p>
        </w:tc>
      </w:tr>
    </w:tbl>
    <w:p>
      <w:pPr>
        <w:sectPr>
          <w:pgSz w:w="11900" w:h="16838" w:orient="portrait"/>
          <w:cols w:equalWidth="0" w:num="1">
            <w:col w:w="11060"/>
          </w:cols>
          <w:pgMar w:left="320" w:top="452"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209550</wp:posOffset>
            </wp:positionV>
            <wp:extent cx="7070090" cy="9118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0090" cy="9118600"/>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209550</wp:posOffset>
            </wp:positionV>
            <wp:extent cx="7070090" cy="9118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0090" cy="9118600"/>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8420" w:type="dxa"/>
            <w:vAlign w:val="bottom"/>
            <w:gridSpan w:val="13"/>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0000EE"/>
            </w:tcBorders>
            <w:gridSpan w:val="15"/>
            <w:vMerge w:val="continue"/>
          </w:tcPr>
          <w:p>
            <w:pPr>
              <w:spacing w:after="0"/>
              <w:rPr>
                <w:sz w:val="14"/>
                <w:szCs w:val="14"/>
                <w:color w:val="auto"/>
              </w:rPr>
            </w:pPr>
          </w:p>
        </w:tc>
        <w:tc>
          <w:tcPr>
            <w:tcW w:w="8420" w:type="dxa"/>
            <w:vAlign w:val="bottom"/>
            <w:gridSpan w:val="13"/>
            <w:vMerge w:val="continue"/>
          </w:tcPr>
          <w:p>
            <w:pPr>
              <w:spacing w:after="0"/>
              <w:rPr>
                <w:sz w:val="14"/>
                <w:szCs w:val="14"/>
                <w:color w:val="auto"/>
              </w:rPr>
            </w:pPr>
          </w:p>
        </w:tc>
        <w:tc>
          <w:tcPr>
            <w:tcW w:w="32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0000EE"/>
            </w:tcBorders>
            <w:gridSpan w:val="7"/>
          </w:tcPr>
          <w:p>
            <w:pPr>
              <w:spacing w:after="0" w:line="193" w:lineRule="exact"/>
              <w:rPr>
                <w:sz w:val="20"/>
                <w:szCs w:val="20"/>
                <w:color w:val="auto"/>
              </w:rPr>
            </w:pPr>
            <w:r>
              <w:rPr>
                <w:rFonts w:ascii="Times New Roman" w:cs="Times New Roman" w:eastAsia="Times New Roman" w:hAnsi="Times New Roman"/>
                <w:sz w:val="18"/>
                <w:szCs w:val="18"/>
                <w:color w:val="0000EE"/>
                <w:w w:val="97"/>
              </w:rPr>
              <w:t>THE OFFERING</w:t>
            </w:r>
          </w:p>
        </w:tc>
        <w:tc>
          <w:tcPr>
            <w:tcW w:w="9220" w:type="dxa"/>
            <w:vAlign w:val="bottom"/>
            <w:gridSpan w:val="21"/>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0000EE"/>
            </w:tcBorders>
            <w:gridSpan w:val="26"/>
          </w:tcPr>
          <w:p>
            <w:pPr>
              <w:spacing w:after="0" w:line="193" w:lineRule="exact"/>
              <w:rPr>
                <w:sz w:val="20"/>
                <w:szCs w:val="20"/>
                <w:color w:val="auto"/>
              </w:rPr>
            </w:pPr>
            <w:r>
              <w:rPr>
                <w:rFonts w:ascii="Times New Roman" w:cs="Times New Roman" w:eastAsia="Times New Roman" w:hAnsi="Times New Roman"/>
                <w:sz w:val="18"/>
                <w:szCs w:val="18"/>
                <w:color w:val="0000EE"/>
                <w:w w:val="96"/>
              </w:rPr>
              <w:t>SUMMARY CONSOLIDATED FINANCIAL AND OPERATING DATA</w:t>
            </w:r>
          </w:p>
        </w:tc>
        <w:tc>
          <w:tcPr>
            <w:tcW w:w="5200" w:type="dxa"/>
            <w:vAlign w:val="bottom"/>
            <w:gridSpan w:val="2"/>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60" w:type="dxa"/>
            <w:vAlign w:val="bottom"/>
            <w:tcBorders>
              <w:bottom w:val="single" w:sz="8" w:color="0000EE"/>
            </w:tcBorders>
            <w:gridSpan w:val="25"/>
          </w:tcPr>
          <w:p>
            <w:pPr>
              <w:spacing w:after="0" w:line="193" w:lineRule="exact"/>
              <w:rPr>
                <w:sz w:val="20"/>
                <w:szCs w:val="20"/>
                <w:color w:val="auto"/>
              </w:rPr>
            </w:pPr>
            <w:r>
              <w:rPr>
                <w:rFonts w:ascii="Times New Roman" w:cs="Times New Roman" w:eastAsia="Times New Roman" w:hAnsi="Times New Roman"/>
                <w:sz w:val="18"/>
                <w:szCs w:val="18"/>
                <w:color w:val="0000EE"/>
                <w:w w:val="97"/>
              </w:rPr>
              <w:t>SPECIAL NOTE REGARDING FORWARD-LOOKING STATEMENTS</w:t>
            </w:r>
          </w:p>
        </w:tc>
        <w:tc>
          <w:tcPr>
            <w:tcW w:w="5220" w:type="dxa"/>
            <w:vAlign w:val="bottom"/>
            <w:gridSpan w:val="3"/>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3"/>
        </w:trPr>
        <w:tc>
          <w:tcPr>
            <w:tcW w:w="1560" w:type="dxa"/>
            <w:vAlign w:val="bottom"/>
            <w:tcBorders>
              <w:bottom w:val="single" w:sz="8" w:color="0000EE"/>
            </w:tcBorders>
            <w:gridSpan w:val="13"/>
          </w:tcPr>
          <w:p>
            <w:pPr>
              <w:spacing w:after="0" w:line="193" w:lineRule="exact"/>
              <w:rPr>
                <w:sz w:val="20"/>
                <w:szCs w:val="20"/>
                <w:color w:val="auto"/>
              </w:rPr>
            </w:pPr>
            <w:r>
              <w:rPr>
                <w:rFonts w:ascii="Times New Roman" w:cs="Times New Roman" w:eastAsia="Times New Roman" w:hAnsi="Times New Roman"/>
                <w:sz w:val="18"/>
                <w:szCs w:val="18"/>
                <w:color w:val="0000EE"/>
                <w:w w:val="97"/>
              </w:rPr>
              <w:t>USE OF PROCEEDS</w:t>
            </w:r>
          </w:p>
        </w:tc>
        <w:tc>
          <w:tcPr>
            <w:tcW w:w="8920" w:type="dxa"/>
            <w:vAlign w:val="bottom"/>
            <w:gridSpan w:val="15"/>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DIVIDEND POLICY</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3"/>
        </w:trPr>
        <w:tc>
          <w:tcPr>
            <w:tcW w:w="1460" w:type="dxa"/>
            <w:vAlign w:val="bottom"/>
            <w:tcBorders>
              <w:top w:val="single" w:sz="8" w:color="0000EE"/>
              <w:bottom w:val="single" w:sz="8" w:color="0000EE"/>
            </w:tcBorders>
            <w:gridSpan w:val="11"/>
          </w:tcPr>
          <w:p>
            <w:pPr>
              <w:spacing w:after="0" w:line="193" w:lineRule="exact"/>
              <w:rPr>
                <w:sz w:val="20"/>
                <w:szCs w:val="20"/>
                <w:color w:val="auto"/>
              </w:rPr>
            </w:pPr>
            <w:r>
              <w:rPr>
                <w:rFonts w:ascii="Times New Roman" w:cs="Times New Roman" w:eastAsia="Times New Roman" w:hAnsi="Times New Roman"/>
                <w:sz w:val="18"/>
                <w:szCs w:val="18"/>
                <w:color w:val="0000EE"/>
                <w:w w:val="96"/>
              </w:rPr>
              <w:t>CAPITALIZATION</w:t>
            </w:r>
          </w:p>
        </w:tc>
        <w:tc>
          <w:tcPr>
            <w:tcW w:w="80" w:type="dxa"/>
            <w:vAlign w:val="bottom"/>
            <w:tcBorders>
              <w:top w:val="single" w:sz="8" w:color="0000EE"/>
            </w:tcBorders>
          </w:tcPr>
          <w:p>
            <w:pPr>
              <w:spacing w:after="0"/>
              <w:rPr>
                <w:sz w:val="16"/>
                <w:szCs w:val="16"/>
                <w:color w:val="auto"/>
              </w:rPr>
            </w:pPr>
          </w:p>
        </w:tc>
        <w:tc>
          <w:tcPr>
            <w:tcW w:w="8940" w:type="dxa"/>
            <w:vAlign w:val="bottom"/>
            <w:gridSpan w:val="16"/>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3"/>
        </w:trPr>
        <w:tc>
          <w:tcPr>
            <w:tcW w:w="860" w:type="dxa"/>
            <w:vAlign w:val="bottom"/>
            <w:tcBorders>
              <w:bottom w:val="single" w:sz="8" w:color="0000EE"/>
            </w:tcBorders>
            <w:gridSpan w:val="3"/>
          </w:tcPr>
          <w:p>
            <w:pPr>
              <w:spacing w:after="0" w:line="193" w:lineRule="exact"/>
              <w:rPr>
                <w:sz w:val="20"/>
                <w:szCs w:val="20"/>
                <w:color w:val="auto"/>
              </w:rPr>
            </w:pPr>
            <w:r>
              <w:rPr>
                <w:rFonts w:ascii="Times New Roman" w:cs="Times New Roman" w:eastAsia="Times New Roman" w:hAnsi="Times New Roman"/>
                <w:sz w:val="18"/>
                <w:szCs w:val="18"/>
                <w:color w:val="0000EE"/>
                <w:w w:val="97"/>
              </w:rPr>
              <w:t>DILUTION</w:t>
            </w:r>
          </w:p>
        </w:tc>
        <w:tc>
          <w:tcPr>
            <w:tcW w:w="9620" w:type="dxa"/>
            <w:vAlign w:val="bottom"/>
            <w:gridSpan w:val="25"/>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3"/>
        </w:trPr>
        <w:tc>
          <w:tcPr>
            <w:tcW w:w="3340" w:type="dxa"/>
            <w:vAlign w:val="bottom"/>
            <w:tcBorders>
              <w:top w:val="single" w:sz="8" w:color="0000EE"/>
              <w:bottom w:val="single" w:sz="8" w:color="0000EE"/>
            </w:tcBorders>
            <w:gridSpan w:val="21"/>
          </w:tcPr>
          <w:p>
            <w:pPr>
              <w:spacing w:after="0" w:line="193" w:lineRule="exact"/>
              <w:rPr>
                <w:sz w:val="20"/>
                <w:szCs w:val="20"/>
                <w:color w:val="auto"/>
              </w:rPr>
            </w:pPr>
            <w:r>
              <w:rPr>
                <w:rFonts w:ascii="Times New Roman" w:cs="Times New Roman" w:eastAsia="Times New Roman" w:hAnsi="Times New Roman"/>
                <w:sz w:val="18"/>
                <w:szCs w:val="18"/>
                <w:color w:val="0000EE"/>
                <w:w w:val="96"/>
              </w:rPr>
              <w:t>CORPORATE HISTORY AND STRUCTURE</w:t>
            </w:r>
          </w:p>
        </w:tc>
        <w:tc>
          <w:tcPr>
            <w:tcW w:w="20" w:type="dxa"/>
            <w:vAlign w:val="bottom"/>
            <w:tcBorders>
              <w:top w:val="single" w:sz="8" w:color="0000EE"/>
            </w:tcBorders>
          </w:tcPr>
          <w:p>
            <w:pPr>
              <w:spacing w:after="0"/>
              <w:rPr>
                <w:sz w:val="16"/>
                <w:szCs w:val="16"/>
                <w:color w:val="auto"/>
              </w:rPr>
            </w:pPr>
          </w:p>
        </w:tc>
        <w:tc>
          <w:tcPr>
            <w:tcW w:w="7120" w:type="dxa"/>
            <w:vAlign w:val="bottom"/>
            <w:gridSpan w:val="6"/>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3"/>
        </w:trPr>
        <w:tc>
          <w:tcPr>
            <w:tcW w:w="8780" w:type="dxa"/>
            <w:vAlign w:val="bottom"/>
            <w:tcBorders>
              <w:bottom w:val="single" w:sz="8" w:color="0000EE"/>
            </w:tcBorders>
            <w:gridSpan w:val="27"/>
          </w:tcPr>
          <w:p>
            <w:pPr>
              <w:spacing w:after="0" w:line="193" w:lineRule="exact"/>
              <w:rPr>
                <w:sz w:val="20"/>
                <w:szCs w:val="20"/>
                <w:color w:val="auto"/>
              </w:rPr>
            </w:pPr>
            <w:r>
              <w:rPr>
                <w:rFonts w:ascii="Times New Roman" w:cs="Times New Roman" w:eastAsia="Times New Roman" w:hAnsi="Times New Roman"/>
                <w:sz w:val="18"/>
                <w:szCs w:val="18"/>
                <w:color w:val="0000EE"/>
                <w:w w:val="97"/>
              </w:rPr>
              <w:t>MANAGEMENT’S DISCUSSION AND ANALYSIS OF FINANCIAL CONDITION AND RESULTS OF OPERATIONS</w:t>
            </w:r>
          </w:p>
        </w:tc>
        <w:tc>
          <w:tcPr>
            <w:tcW w:w="1700" w:type="dxa"/>
            <w:vAlign w:val="bottom"/>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INDUSTRY OVERVIEW</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3"/>
        </w:trPr>
        <w:tc>
          <w:tcPr>
            <w:tcW w:w="840" w:type="dxa"/>
            <w:vAlign w:val="bottom"/>
            <w:tcBorders>
              <w:top w:val="single" w:sz="8" w:color="0000EE"/>
              <w:bottom w:val="single" w:sz="8" w:color="0000EE"/>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EE"/>
                <w:w w:val="96"/>
              </w:rPr>
              <w:t>BUSINESS</w:t>
            </w:r>
          </w:p>
        </w:tc>
        <w:tc>
          <w:tcPr>
            <w:tcW w:w="1020" w:type="dxa"/>
            <w:vAlign w:val="bottom"/>
            <w:tcBorders>
              <w:top w:val="single" w:sz="8" w:color="0000EE"/>
            </w:tcBorders>
            <w:gridSpan w:val="12"/>
          </w:tcPr>
          <w:p>
            <w:pPr>
              <w:spacing w:after="0"/>
              <w:rPr>
                <w:sz w:val="16"/>
                <w:szCs w:val="16"/>
                <w:color w:val="auto"/>
              </w:rPr>
            </w:pPr>
          </w:p>
        </w:tc>
        <w:tc>
          <w:tcPr>
            <w:tcW w:w="8620" w:type="dxa"/>
            <w:vAlign w:val="bottom"/>
            <w:gridSpan w:val="14"/>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REGULATION</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80" w:type="dxa"/>
            <w:vAlign w:val="bottom"/>
            <w:tcBorders>
              <w:bottom w:val="single" w:sz="8" w:color="0000EE"/>
            </w:tcBorders>
            <w:gridSpan w:val="8"/>
          </w:tcPr>
          <w:p>
            <w:pPr>
              <w:spacing w:after="0" w:line="193" w:lineRule="exact"/>
              <w:rPr>
                <w:sz w:val="20"/>
                <w:szCs w:val="20"/>
                <w:color w:val="auto"/>
              </w:rPr>
            </w:pPr>
            <w:r>
              <w:rPr>
                <w:rFonts w:ascii="Times New Roman" w:cs="Times New Roman" w:eastAsia="Times New Roman" w:hAnsi="Times New Roman"/>
                <w:sz w:val="18"/>
                <w:szCs w:val="18"/>
                <w:color w:val="0000EE"/>
                <w:w w:val="96"/>
              </w:rPr>
              <w:t>MANAGEMENT</w:t>
            </w:r>
          </w:p>
        </w:tc>
        <w:tc>
          <w:tcPr>
            <w:tcW w:w="9200" w:type="dxa"/>
            <w:vAlign w:val="bottom"/>
            <w:gridSpan w:val="20"/>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PRINCIPAL SHAREHOLDERS</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80" w:type="dxa"/>
            <w:vAlign w:val="bottom"/>
            <w:tcBorders>
              <w:bottom w:val="single" w:sz="8" w:color="0000EE"/>
            </w:tcBorders>
            <w:gridSpan w:val="18"/>
          </w:tcPr>
          <w:p>
            <w:pPr>
              <w:spacing w:after="0" w:line="193" w:lineRule="exact"/>
              <w:rPr>
                <w:sz w:val="20"/>
                <w:szCs w:val="20"/>
                <w:color w:val="auto"/>
              </w:rPr>
            </w:pPr>
            <w:r>
              <w:rPr>
                <w:rFonts w:ascii="Times New Roman" w:cs="Times New Roman" w:eastAsia="Times New Roman" w:hAnsi="Times New Roman"/>
                <w:sz w:val="18"/>
                <w:szCs w:val="18"/>
                <w:color w:val="0000EE"/>
                <w:w w:val="96"/>
              </w:rPr>
              <w:t>RELATED PARTY TRANSACTIONS</w:t>
            </w:r>
          </w:p>
        </w:tc>
        <w:tc>
          <w:tcPr>
            <w:tcW w:w="7700" w:type="dxa"/>
            <w:vAlign w:val="bottom"/>
            <w:gridSpan w:val="10"/>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60" w:type="dxa"/>
            <w:vAlign w:val="bottom"/>
            <w:tcBorders>
              <w:bottom w:val="single" w:sz="8" w:color="0000EE"/>
            </w:tcBorders>
            <w:gridSpan w:val="23"/>
          </w:tcPr>
          <w:p>
            <w:pPr>
              <w:spacing w:after="0" w:line="193" w:lineRule="exact"/>
              <w:rPr>
                <w:sz w:val="20"/>
                <w:szCs w:val="20"/>
                <w:color w:val="auto"/>
              </w:rPr>
            </w:pPr>
            <w:r>
              <w:rPr>
                <w:rFonts w:ascii="Times New Roman" w:cs="Times New Roman" w:eastAsia="Times New Roman" w:hAnsi="Times New Roman"/>
                <w:sz w:val="18"/>
                <w:szCs w:val="18"/>
                <w:color w:val="0000EE"/>
                <w:w w:val="97"/>
              </w:rPr>
              <w:t>DESCRIPTION OF AMERICAN DEPOSITARY SHARES</w:t>
            </w:r>
          </w:p>
        </w:tc>
        <w:tc>
          <w:tcPr>
            <w:tcW w:w="6220" w:type="dxa"/>
            <w:vAlign w:val="bottom"/>
            <w:gridSpan w:val="5"/>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93"/>
        </w:trPr>
        <w:tc>
          <w:tcPr>
            <w:tcW w:w="3120" w:type="dxa"/>
            <w:vAlign w:val="bottom"/>
            <w:tcBorders>
              <w:top w:val="single" w:sz="8" w:color="0000EE"/>
            </w:tcBorders>
            <w:gridSpan w:val="20"/>
          </w:tcPr>
          <w:p>
            <w:pPr>
              <w:spacing w:after="0" w:line="193" w:lineRule="exact"/>
              <w:rPr>
                <w:sz w:val="20"/>
                <w:szCs w:val="20"/>
                <w:color w:val="auto"/>
              </w:rPr>
            </w:pPr>
            <w:r>
              <w:rPr>
                <w:rFonts w:ascii="Times New Roman" w:cs="Times New Roman" w:eastAsia="Times New Roman" w:hAnsi="Times New Roman"/>
                <w:sz w:val="18"/>
                <w:szCs w:val="18"/>
                <w:color w:val="0000EE"/>
              </w:rPr>
              <w:t>TAXATION</w:t>
            </w:r>
          </w:p>
        </w:tc>
        <w:tc>
          <w:tcPr>
            <w:tcW w:w="7360" w:type="dxa"/>
            <w:vAlign w:val="bottom"/>
            <w:gridSpan w:val="8"/>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UNDERWRITING</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EXPENSES OF THE OFFERING</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3"/>
        </w:trPr>
        <w:tc>
          <w:tcPr>
            <w:tcW w:w="1440" w:type="dxa"/>
            <w:vAlign w:val="bottom"/>
            <w:tcBorders>
              <w:top w:val="single" w:sz="8" w:color="0000EE"/>
              <w:bottom w:val="single" w:sz="8" w:color="0000EE"/>
            </w:tcBorders>
            <w:gridSpan w:val="10"/>
          </w:tcPr>
          <w:p>
            <w:pPr>
              <w:spacing w:after="0" w:line="193" w:lineRule="exact"/>
              <w:rPr>
                <w:sz w:val="20"/>
                <w:szCs w:val="20"/>
                <w:color w:val="auto"/>
              </w:rPr>
            </w:pPr>
            <w:r>
              <w:rPr>
                <w:rFonts w:ascii="Times New Roman" w:cs="Times New Roman" w:eastAsia="Times New Roman" w:hAnsi="Times New Roman"/>
                <w:sz w:val="18"/>
                <w:szCs w:val="18"/>
                <w:color w:val="0000EE"/>
                <w:w w:val="96"/>
              </w:rPr>
              <w:t>LEGAL MATTERS</w:t>
            </w:r>
          </w:p>
        </w:tc>
        <w:tc>
          <w:tcPr>
            <w:tcW w:w="1000" w:type="dxa"/>
            <w:vAlign w:val="bottom"/>
            <w:tcBorders>
              <w:top w:val="single" w:sz="8" w:color="0000EE"/>
            </w:tcBorders>
            <w:gridSpan w:val="7"/>
          </w:tcPr>
          <w:p>
            <w:pPr>
              <w:spacing w:after="0"/>
              <w:rPr>
                <w:sz w:val="16"/>
                <w:szCs w:val="16"/>
                <w:color w:val="auto"/>
              </w:rPr>
            </w:pPr>
          </w:p>
        </w:tc>
        <w:tc>
          <w:tcPr>
            <w:tcW w:w="8040" w:type="dxa"/>
            <w:vAlign w:val="bottom"/>
            <w:gridSpan w:val="11"/>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3"/>
        </w:trPr>
        <w:tc>
          <w:tcPr>
            <w:tcW w:w="760" w:type="dxa"/>
            <w:vAlign w:val="bottom"/>
            <w:tcBorders>
              <w:bottom w:val="single" w:sz="8" w:color="0000EE"/>
            </w:tcBorders>
          </w:tcPr>
          <w:p>
            <w:pPr>
              <w:spacing w:after="0" w:line="193" w:lineRule="exact"/>
              <w:rPr>
                <w:sz w:val="20"/>
                <w:szCs w:val="20"/>
                <w:color w:val="auto"/>
              </w:rPr>
            </w:pPr>
            <w:r>
              <w:rPr>
                <w:rFonts w:ascii="Times New Roman" w:cs="Times New Roman" w:eastAsia="Times New Roman" w:hAnsi="Times New Roman"/>
                <w:sz w:val="18"/>
                <w:szCs w:val="18"/>
                <w:color w:val="0000EE"/>
                <w:w w:val="94"/>
              </w:rPr>
              <w:t>EXPERTS</w:t>
            </w:r>
          </w:p>
        </w:tc>
        <w:tc>
          <w:tcPr>
            <w:tcW w:w="9720" w:type="dxa"/>
            <w:vAlign w:val="bottom"/>
            <w:gridSpan w:val="27"/>
          </w:tcPr>
          <w:p>
            <w:pPr>
              <w:spacing w:after="0"/>
              <w:rPr>
                <w:sz w:val="16"/>
                <w:szCs w:val="16"/>
                <w:color w:val="auto"/>
              </w:rPr>
            </w:pP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4340" w:type="dxa"/>
            <w:vAlign w:val="bottom"/>
            <w:gridSpan w:val="24"/>
            <w:shd w:val="clear" w:color="auto" w:fill="0000EE"/>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8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245110</wp:posOffset>
            </wp:positionV>
            <wp:extent cx="1443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0" w:right="220" w:firstLine="434"/>
        <w:spacing w:after="0" w:line="262" w:lineRule="auto"/>
        <w:rPr>
          <w:sz w:val="20"/>
          <w:szCs w:val="20"/>
          <w:color w:val="auto"/>
        </w:rPr>
      </w:pPr>
      <w:r>
        <w:rPr>
          <w:rFonts w:ascii="Times New Roman" w:cs="Times New Roman" w:eastAsia="Times New Roman" w:hAnsi="Times New Roman"/>
          <w:sz w:val="18"/>
          <w:szCs w:val="18"/>
          <w:b w:val="1"/>
          <w:bCs w:val="1"/>
          <w:color w:val="auto"/>
        </w:rPr>
        <w:t>Until February 18,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207010</wp:posOffset>
            </wp:positionV>
            <wp:extent cx="1443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0" w:right="160" w:firstLine="43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and the underwriters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181" w:lineRule="exact"/>
        <w:rPr>
          <w:sz w:val="20"/>
          <w:szCs w:val="20"/>
          <w:color w:val="auto"/>
        </w:rPr>
      </w:pPr>
    </w:p>
    <w:p>
      <w:pPr>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the United States.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00"/>
          </w:cols>
          <w:pgMar w:left="320" w:top="452"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040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3560" cy="60407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8" w:lineRule="exact"/>
        <w:rPr>
          <w:sz w:val="20"/>
          <w:szCs w:val="20"/>
          <w:color w:val="auto"/>
        </w:rPr>
      </w:pPr>
    </w:p>
    <w:p>
      <w:pPr>
        <w:ind w:left="380" w:right="60" w:firstLine="420"/>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the ADSs.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This prospectus contains information from an industry report commissioned by us and prepared by Frost &amp; Sullivan, an independent research firm, to provide information regarding our industry and our market position. We refer to this report as the F&amp;S report.</w:t>
      </w: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What We Envision</w:t>
      </w:r>
    </w:p>
    <w:p>
      <w:pPr>
        <w:spacing w:after="0" w:line="114" w:lineRule="exact"/>
        <w:rPr>
          <w:sz w:val="20"/>
          <w:szCs w:val="20"/>
          <w:color w:val="auto"/>
        </w:rPr>
      </w:pPr>
    </w:p>
    <w:p>
      <w:pPr>
        <w:ind w:left="380" w:right="460" w:firstLine="420"/>
        <w:spacing w:after="0" w:line="275" w:lineRule="auto"/>
        <w:rPr>
          <w:sz w:val="20"/>
          <w:szCs w:val="20"/>
          <w:color w:val="auto"/>
        </w:rPr>
      </w:pPr>
      <w:r>
        <w:rPr>
          <w:rFonts w:ascii="Times New Roman" w:cs="Times New Roman" w:eastAsia="Times New Roman" w:hAnsi="Times New Roman"/>
          <w:sz w:val="18"/>
          <w:szCs w:val="18"/>
          <w:color w:val="auto"/>
        </w:rPr>
        <w:t>We believe that personal learning and development is a lifelong journey. Everyone, regardless of background, should be given an equal opportunity to pursue their interests, passions, and goals.</w:t>
      </w:r>
    </w:p>
    <w:p>
      <w:pPr>
        <w:spacing w:after="0" w:line="164" w:lineRule="exact"/>
        <w:rPr>
          <w:sz w:val="20"/>
          <w:szCs w:val="20"/>
          <w:color w:val="auto"/>
        </w:rPr>
      </w:pPr>
    </w:p>
    <w:p>
      <w:pPr>
        <w:ind w:left="380" w:right="960" w:firstLine="420"/>
        <w:spacing w:after="0" w:line="275" w:lineRule="auto"/>
        <w:rPr>
          <w:sz w:val="20"/>
          <w:szCs w:val="20"/>
          <w:color w:val="auto"/>
        </w:rPr>
      </w:pPr>
      <w:r>
        <w:rPr>
          <w:rFonts w:ascii="Times New Roman" w:cs="Times New Roman" w:eastAsia="Times New Roman" w:hAnsi="Times New Roman"/>
          <w:sz w:val="18"/>
          <w:szCs w:val="18"/>
          <w:color w:val="auto"/>
        </w:rPr>
        <w:t>Our mission is to improve people’s quality of life and well-being by providing them lifelong personal learning and development opportunities.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14" w:lineRule="exact"/>
        <w:rPr>
          <w:sz w:val="20"/>
          <w:szCs w:val="20"/>
          <w:color w:val="auto"/>
        </w:rPr>
      </w:pPr>
    </w:p>
    <w:p>
      <w:pPr>
        <w:ind w:left="380" w:right="20" w:firstLine="420"/>
        <w:spacing w:after="0" w:line="256" w:lineRule="auto"/>
        <w:rPr>
          <w:sz w:val="20"/>
          <w:szCs w:val="20"/>
          <w:color w:val="auto"/>
        </w:rPr>
      </w:pPr>
      <w:r>
        <w:rPr>
          <w:rFonts w:ascii="Times New Roman" w:cs="Times New Roman" w:eastAsia="Times New Roman" w:hAnsi="Times New Roman"/>
          <w:sz w:val="18"/>
          <w:szCs w:val="18"/>
          <w:color w:val="auto"/>
        </w:rPr>
        <w:t xml:space="preserve">QuantaSing Group is the largest online learning service provider in China’s adult learning market for personal interest courses and among the top five service providers in China’s total adult learning market, in terms of revenue in 2021, according to the F&amp;S report. We offer easy-to-understand, affordable, and accessible online courses to adult learners under various brands, including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empowering them to pursue personal development.</w:t>
      </w:r>
    </w:p>
    <w:p>
      <w:pPr>
        <w:spacing w:after="0" w:line="181" w:lineRule="exact"/>
        <w:rPr>
          <w:sz w:val="20"/>
          <w:szCs w:val="20"/>
          <w:color w:val="auto"/>
        </w:rPr>
      </w:pPr>
    </w:p>
    <w:p>
      <w:pPr>
        <w:ind w:left="380" w:firstLine="420"/>
        <w:spacing w:after="0" w:line="250" w:lineRule="auto"/>
        <w:rPr>
          <w:sz w:val="20"/>
          <w:szCs w:val="20"/>
          <w:color w:val="auto"/>
        </w:rPr>
      </w:pPr>
      <w:r>
        <w:rPr>
          <w:rFonts w:ascii="Times New Roman" w:cs="Times New Roman" w:eastAsia="Times New Roman" w:hAnsi="Times New Roman"/>
          <w:sz w:val="18"/>
          <w:szCs w:val="18"/>
          <w:color w:val="auto"/>
        </w:rPr>
        <w:t>We launched our financial literacy learning services in July 2019 and quickly became the largest online financial learning service provider for adults in China, with a market share of 36.9% in terms of revenue in 2021, according to the F&amp;S report. In August 2021, we expanded our offerings into a selective repertoire of other personal interest courses beyond financial literacy, to leverage the general public’s gradual awakening to more diverse needs in pursuing personal development and lifelong learning. In February 2020, we launched our marketing services to financial intermediary enterprises, allowing them to connect with our learners to enlarge their customer base. In June 2022, we launched our enterprise talent management services to provide enterprise customers with online talent assessment, training and learning services for internal employee management. These services have enabled us to broaden our service offerings into enterprise customers and evolve into a two-sided service provider for both individuals and enterprises.</w:t>
      </w:r>
    </w:p>
    <w:p>
      <w:pPr>
        <w:spacing w:after="0" w:line="190" w:lineRule="exact"/>
        <w:rPr>
          <w:sz w:val="20"/>
          <w:szCs w:val="20"/>
          <w:color w:val="auto"/>
        </w:rPr>
      </w:pPr>
    </w:p>
    <w:p>
      <w:pPr>
        <w:ind w:left="380" w:right="180" w:firstLine="420"/>
        <w:spacing w:after="0" w:line="253" w:lineRule="auto"/>
        <w:rPr>
          <w:sz w:val="20"/>
          <w:szCs w:val="20"/>
          <w:color w:val="auto"/>
        </w:rPr>
      </w:pPr>
      <w:r>
        <w:rPr>
          <w:rFonts w:ascii="Times New Roman" w:cs="Times New Roman" w:eastAsia="Times New Roman" w:hAnsi="Times New Roman"/>
          <w:sz w:val="18"/>
          <w:szCs w:val="18"/>
          <w:color w:val="auto"/>
        </w:rPr>
        <w:t>Our technology capability forms the bedrock of our business growth. We continuously invest in our proprietary technology and business intelligence, embedding them in every key aspect of our business operations, from content development, live streaming, pre-recording, and intelligent study toolkits, to customer engagement, sales conversion, and operation management. By adopting various self-developed smart tools, we can gain real-time business intelligence during our courses to improve our teaching quality and learner experience, upgrade and enrich our course offerings, and ultimately, enhance the sales conversion for additional and/or more advanced courses.</w:t>
      </w:r>
    </w:p>
    <w:p>
      <w:pPr>
        <w:spacing w:after="0" w:line="185" w:lineRule="exact"/>
        <w:rPr>
          <w:sz w:val="20"/>
          <w:szCs w:val="20"/>
          <w:color w:val="auto"/>
        </w:rPr>
      </w:pPr>
    </w:p>
    <w:p>
      <w:pPr>
        <w:ind w:left="380" w:right="220" w:firstLine="420"/>
        <w:spacing w:after="0" w:line="276" w:lineRule="auto"/>
        <w:rPr>
          <w:sz w:val="20"/>
          <w:szCs w:val="20"/>
          <w:color w:val="auto"/>
        </w:rPr>
      </w:pPr>
      <w:r>
        <w:rPr>
          <w:rFonts w:ascii="Times New Roman" w:cs="Times New Roman" w:eastAsia="Times New Roman" w:hAnsi="Times New Roman"/>
          <w:sz w:val="17"/>
          <w:szCs w:val="17"/>
          <w:color w:val="auto"/>
        </w:rPr>
        <w:t>We have benefited from our agile and scalable business model and experienced a significant growth in our business since we launched our financial literacy learning services in July 2019. As of November 30, 2022, we had accumulated approximately 75.1 million registered users, quadrupling from 17.0 million as of June 30, 2021. For the fiscal year ended June 30, 2022, we had approximately 1.1 million paying learners, representing a 37.5% increase from 0.8 million for the fiscal year ended June 30, 2021. For the five months ended November 30, 2022,</w:t>
      </w:r>
    </w:p>
    <w:p>
      <w:pPr>
        <w:spacing w:after="0" w:line="2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40"/>
          </w:cols>
          <w:pgMar w:left="320" w:top="452" w:right="7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501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3560" cy="55010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spacing w:after="0" w:line="250" w:lineRule="auto"/>
        <w:rPr>
          <w:sz w:val="20"/>
          <w:szCs w:val="20"/>
          <w:color w:val="auto"/>
        </w:rPr>
      </w:pPr>
      <w:r>
        <w:rPr>
          <w:rFonts w:ascii="Times New Roman" w:cs="Times New Roman" w:eastAsia="Times New Roman" w:hAnsi="Times New Roman"/>
          <w:sz w:val="18"/>
          <w:szCs w:val="18"/>
          <w:color w:val="auto"/>
        </w:rPr>
        <w:t>we had 0.5 million paying learners. See “Management’s Discussion and Analysis of Financial Condition and Results of Operations — Key Operating Metrics” for details. Our total revenues were RMB1,759.9 million, RMB2,868.0 million (US$403.2 million), RMB744.0 million and RMB659.4 million (US$92.7 million) for the fiscal years ended June 30, 2021 and 2022 and the three months ended September 30, 2021 and 2022, respectively. We incurred net loss of RMB316.0 million, RMB233.4 million (US$32.8 million), RMB77.9 million and RMB97.3 million (US$13.7 million) in the fiscal years ended June 30, 2021 and 2022 and the three months ended September 30, 2021 and 2022, respectively. We had adjusted net loss of RMB214.2 million, adjusted net profit of RMB58.0 million (US$8.2 million) and adjusted net loss of RMB48.8 million and RMB50.9 million (US$7.2 million) in the same periods, respectively. See “Management’s Discussion and Analysis of Financial Condition and Results of Operations — Non-GAAP Financial Measures.”</w:t>
      </w: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What We Offer</w:t>
      </w:r>
    </w:p>
    <w:p>
      <w:pPr>
        <w:spacing w:after="0" w:line="114" w:lineRule="exact"/>
        <w:rPr>
          <w:sz w:val="20"/>
          <w:szCs w:val="20"/>
          <w:color w:val="auto"/>
        </w:rPr>
      </w:pPr>
    </w:p>
    <w:p>
      <w:pPr>
        <w:ind w:left="380" w:right="280" w:firstLine="420"/>
        <w:spacing w:after="0" w:line="275" w:lineRule="auto"/>
        <w:rPr>
          <w:sz w:val="20"/>
          <w:szCs w:val="20"/>
          <w:color w:val="auto"/>
        </w:rPr>
      </w:pPr>
      <w:r>
        <w:rPr>
          <w:rFonts w:ascii="Times New Roman" w:cs="Times New Roman" w:eastAsia="Times New Roman" w:hAnsi="Times New Roman"/>
          <w:sz w:val="18"/>
          <w:szCs w:val="18"/>
          <w:color w:val="auto"/>
        </w:rPr>
        <w:t>We offer (1) online courses under various brands to individual adult learners and (2) marketing services and enterprise talent management services to enterprise customers.</w:t>
      </w:r>
    </w:p>
    <w:p>
      <w:pPr>
        <w:spacing w:after="0" w:line="162" w:lineRule="exact"/>
        <w:rPr>
          <w:sz w:val="20"/>
          <w:szCs w:val="20"/>
          <w:color w:val="auto"/>
        </w:rPr>
      </w:pPr>
    </w:p>
    <w:p>
      <w:pPr>
        <w:ind w:left="380" w:right="60" w:firstLine="420"/>
        <w:spacing w:after="0" w:line="269" w:lineRule="auto"/>
        <w:rPr>
          <w:sz w:val="20"/>
          <w:szCs w:val="20"/>
          <w:color w:val="auto"/>
        </w:rPr>
      </w:pPr>
      <w:r>
        <w:rPr>
          <w:rFonts w:ascii="Times New Roman" w:cs="Times New Roman" w:eastAsia="Times New Roman" w:hAnsi="Times New Roman"/>
          <w:sz w:val="17"/>
          <w:szCs w:val="17"/>
          <w:color w:val="auto"/>
        </w:rPr>
        <w:t xml:space="preserve">We provide our financial literacy courses under the brand </w:t>
      </w:r>
      <w:r>
        <w:rPr>
          <w:rFonts w:ascii="Times New Roman" w:cs="Times New Roman" w:eastAsia="Times New Roman" w:hAnsi="Times New Roman"/>
          <w:sz w:val="17"/>
          <w:szCs w:val="17"/>
          <w:i w:val="1"/>
          <w:iCs w:val="1"/>
          <w:color w:val="auto"/>
        </w:rPr>
        <w:t>QiNiu</w:t>
      </w:r>
      <w:r>
        <w:rPr>
          <w:rFonts w:ascii="Times New Roman" w:cs="Times New Roman" w:eastAsia="Times New Roman" w:hAnsi="Times New Roman"/>
          <w:sz w:val="17"/>
          <w:szCs w:val="17"/>
          <w:color w:val="auto"/>
        </w:rPr>
        <w:t xml:space="preserve"> to democratize financial learning for the mass market. Fewer than 35% adults in China were financially literate as of 2021, significantly lower than that in other large economies such as the United States (57%) or the United Kingdom (67%), according to the F&amp;S report. This has created a robust demand for our financial literacy courses. </w:t>
      </w:r>
      <w:r>
        <w:rPr>
          <w:rFonts w:ascii="Times New Roman" w:cs="Times New Roman" w:eastAsia="Times New Roman" w:hAnsi="Times New Roman"/>
          <w:sz w:val="17"/>
          <w:szCs w:val="17"/>
          <w:i w:val="1"/>
          <w:iCs w:val="1"/>
          <w:color w:val="auto"/>
        </w:rPr>
        <w:t>QiNiu</w:t>
      </w:r>
      <w:r>
        <w:rPr>
          <w:rFonts w:ascii="Times New Roman" w:cs="Times New Roman" w:eastAsia="Times New Roman" w:hAnsi="Times New Roman"/>
          <w:sz w:val="17"/>
          <w:szCs w:val="17"/>
          <w:color w:val="auto"/>
        </w:rPr>
        <w:t xml:space="preserve"> offers free or paid financial literacy courses at introductory, intermediate, and advanced levels, covering topics across personal finance and wealth management. As our largest brand, </w:t>
      </w:r>
      <w:r>
        <w:rPr>
          <w:rFonts w:ascii="Times New Roman" w:cs="Times New Roman" w:eastAsia="Times New Roman" w:hAnsi="Times New Roman"/>
          <w:sz w:val="17"/>
          <w:szCs w:val="17"/>
          <w:i w:val="1"/>
          <w:iCs w:val="1"/>
          <w:color w:val="auto"/>
        </w:rPr>
        <w:t>Qiniu</w:t>
      </w:r>
      <w:r>
        <w:rPr>
          <w:rFonts w:ascii="Times New Roman" w:cs="Times New Roman" w:eastAsia="Times New Roman" w:hAnsi="Times New Roman"/>
          <w:sz w:val="17"/>
          <w:szCs w:val="17"/>
          <w:color w:val="auto"/>
        </w:rPr>
        <w:t xml:space="preserve"> had approximately 59.7 million registered users as of November 30, 2022 and 1.0 million paying learners for the fiscal year ended June 30, 2022, compared with approximately 17.0 million registered users as of June 30, 2021 and 0.8 million paying learners for the fiscal year ended June 30, 2021. For the five months ended November 30, 2022, </w:t>
      </w:r>
      <w:r>
        <w:rPr>
          <w:rFonts w:ascii="Times New Roman" w:cs="Times New Roman" w:eastAsia="Times New Roman" w:hAnsi="Times New Roman"/>
          <w:sz w:val="17"/>
          <w:szCs w:val="17"/>
          <w:i w:val="1"/>
          <w:iCs w:val="1"/>
          <w:color w:val="auto"/>
        </w:rPr>
        <w:t>Qiniu</w:t>
      </w:r>
      <w:r>
        <w:rPr>
          <w:rFonts w:ascii="Times New Roman" w:cs="Times New Roman" w:eastAsia="Times New Roman" w:hAnsi="Times New Roman"/>
          <w:sz w:val="17"/>
          <w:szCs w:val="17"/>
          <w:color w:val="auto"/>
        </w:rPr>
        <w:t xml:space="preserve"> had approximately 0.4 million paying learners.</w:t>
      </w:r>
    </w:p>
    <w:p>
      <w:pPr>
        <w:spacing w:after="0" w:line="170" w:lineRule="exact"/>
        <w:rPr>
          <w:sz w:val="20"/>
          <w:szCs w:val="20"/>
          <w:color w:val="auto"/>
        </w:rPr>
      </w:pPr>
    </w:p>
    <w:p>
      <w:pPr>
        <w:ind w:left="380" w:right="60" w:firstLine="420"/>
        <w:spacing w:after="0" w:line="265" w:lineRule="auto"/>
        <w:rPr>
          <w:sz w:val="20"/>
          <w:szCs w:val="20"/>
          <w:color w:val="auto"/>
        </w:rPr>
      </w:pPr>
      <w:r>
        <w:rPr>
          <w:rFonts w:ascii="Times New Roman" w:cs="Times New Roman" w:eastAsia="Times New Roman" w:hAnsi="Times New Roman"/>
          <w:sz w:val="17"/>
          <w:szCs w:val="17"/>
          <w:color w:val="auto"/>
        </w:rPr>
        <w:t xml:space="preserve">We expanded our course offerings into other personal interest courses in August 2021. Leveraging our course development experience, well-designed technology infrastructure, and proven operating model from </w:t>
      </w:r>
      <w:r>
        <w:rPr>
          <w:rFonts w:ascii="Times New Roman" w:cs="Times New Roman" w:eastAsia="Times New Roman" w:hAnsi="Times New Roman"/>
          <w:sz w:val="17"/>
          <w:szCs w:val="17"/>
          <w:i w:val="1"/>
          <w:iCs w:val="1"/>
          <w:color w:val="auto"/>
        </w:rPr>
        <w:t>QiNiu</w:t>
      </w:r>
      <w:r>
        <w:rPr>
          <w:rFonts w:ascii="Times New Roman" w:cs="Times New Roman" w:eastAsia="Times New Roman" w:hAnsi="Times New Roman"/>
          <w:sz w:val="17"/>
          <w:szCs w:val="17"/>
          <w:color w:val="auto"/>
        </w:rPr>
        <w:t xml:space="preserve">, we quickly introduced our new brands, such as </w:t>
      </w:r>
      <w:r>
        <w:rPr>
          <w:rFonts w:ascii="Times New Roman" w:cs="Times New Roman" w:eastAsia="Times New Roman" w:hAnsi="Times New Roman"/>
          <w:sz w:val="17"/>
          <w:szCs w:val="17"/>
          <w:i w:val="1"/>
          <w:iCs w:val="1"/>
          <w:color w:val="auto"/>
        </w:rPr>
        <w:t>JiangZhen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QianChi</w:t>
      </w:r>
      <w:r>
        <w:rPr>
          <w:rFonts w:ascii="Times New Roman" w:cs="Times New Roman" w:eastAsia="Times New Roman" w:hAnsi="Times New Roman"/>
          <w:sz w:val="17"/>
          <w:szCs w:val="17"/>
          <w:color w:val="auto"/>
        </w:rPr>
        <w:t>, to provide other personal interest courses to adult learners. We have thoughtfully curated various trending courses, such as short video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production courses, in response to the popularity of video blogging on social media, and personal well-being courses, in response to people’s increased awareness of healthy lifestyles, and electronic keyboard and Chinese painting courses, in response to people’s rising pursuits of personal hobbies. We, from time to time, adjust the course mix to capture the evolving market trends. We had quickly accumulated approximately</w:t>
      </w:r>
    </w:p>
    <w:p>
      <w:pPr>
        <w:spacing w:after="0" w:line="1" w:lineRule="exact"/>
        <w:rPr>
          <w:sz w:val="20"/>
          <w:szCs w:val="20"/>
          <w:color w:val="auto"/>
        </w:rPr>
      </w:pPr>
    </w:p>
    <w:p>
      <w:pPr>
        <w:ind w:left="380" w:right="220"/>
        <w:spacing w:after="0" w:line="253" w:lineRule="auto"/>
        <w:rPr>
          <w:sz w:val="20"/>
          <w:szCs w:val="20"/>
          <w:color w:val="auto"/>
        </w:rPr>
      </w:pPr>
      <w:r>
        <w:rPr>
          <w:rFonts w:ascii="Times New Roman" w:cs="Times New Roman" w:eastAsia="Times New Roman" w:hAnsi="Times New Roman"/>
          <w:sz w:val="18"/>
          <w:szCs w:val="18"/>
          <w:color w:val="auto"/>
        </w:rPr>
        <w:t>15.4 million registered users for other personal interest courses, as of November 30, 2022, and approximately 0.1 million and 0.1 million paying learners, for the fiscal year ended June 30, 2022 and the five months ended November 30, 2022, respectively.</w:t>
      </w:r>
    </w:p>
    <w:p>
      <w:pPr>
        <w:spacing w:after="0" w:line="183" w:lineRule="exact"/>
        <w:rPr>
          <w:sz w:val="20"/>
          <w:szCs w:val="20"/>
          <w:color w:val="auto"/>
        </w:rPr>
      </w:pPr>
    </w:p>
    <w:p>
      <w:pPr>
        <w:ind w:left="380" w:right="80" w:firstLine="420"/>
        <w:spacing w:after="0" w:line="250" w:lineRule="auto"/>
        <w:rPr>
          <w:sz w:val="20"/>
          <w:szCs w:val="20"/>
          <w:color w:val="auto"/>
        </w:rPr>
      </w:pPr>
      <w:r>
        <w:rPr>
          <w:rFonts w:ascii="Times New Roman" w:cs="Times New Roman" w:eastAsia="Times New Roman" w:hAnsi="Times New Roman"/>
          <w:sz w:val="18"/>
          <w:szCs w:val="18"/>
          <w:color w:val="auto"/>
        </w:rPr>
        <w:t>Our fast growing user base, which consists of a large and loyal paying learner base, coupled with proven technology and accumulated experience, creates an immense business opportunity for us to become a two-sided service provider, delivering services to both individual learners and enterprises. We launched our marketing services to financial intermediary enterprises in February 2020, allowing them to connect with our learners to enlarge their customer base. In June 2022, we launched our enterprise talent management services, offering systematic online talent assessment, training and learning services to enterprises for internal employee management. We are continuously exploring more diverse opportunities to leverage our large user base, proven technology, and accumulated experience in online learning markets and achieve greater synergy. For instance, we are in the process of developing technical and operating services to enterprises interested in developing their proprietary online learning platform services.</w:t>
      </w:r>
    </w:p>
    <w:p>
      <w:pPr>
        <w:spacing w:after="0" w:line="29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320" w:top="452"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403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3560" cy="640397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 believe our success to date is primarily attributable to the following key competitive strengths.</w:t>
      </w:r>
    </w:p>
    <w:p>
      <w:pPr>
        <w:spacing w:after="0" w:line="125" w:lineRule="exact"/>
        <w:rPr>
          <w:sz w:val="20"/>
          <w:szCs w:val="20"/>
          <w:color w:val="auto"/>
        </w:rPr>
      </w:pPr>
    </w:p>
    <w:p>
      <w:pPr>
        <w:ind w:left="1300" w:hanging="40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largest learning platform offering adult personal interest courses with strong growth trajectory;</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learning journey leading to strong user engagement;</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business model driving rapid launch of new course offerings and business opportunities;</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technology infrastructure and business intelligence; and</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Visionary, seasoned management team and entrepreneurial corporate culture.</w:t>
      </w:r>
    </w:p>
    <w:p>
      <w:pPr>
        <w:spacing w:after="0" w:line="3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How We Approach the Future</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 intend to pursue the following strategies to drive future growth.</w:t>
      </w:r>
    </w:p>
    <w:p>
      <w:pPr>
        <w:spacing w:after="0" w:line="125" w:lineRule="exact"/>
        <w:rPr>
          <w:sz w:val="20"/>
          <w:szCs w:val="20"/>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user base and drive learner engagement;</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Enrich course offerings with proven demand;</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enterprise services to achieve greater synergy;</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technology and data analytics;</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cultivate talent; and</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overseas and pursue strategic collaborations.</w:t>
      </w:r>
    </w:p>
    <w:p>
      <w:pPr>
        <w:spacing w:after="0" w:line="3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 currently primarily operate in China’s adult learning market for personal interest courses. China’s online adult learning market for</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personal interest courses has been growing faster than the offline market in the past few years, and is expected to maintain the growth momentum</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from 2021 to 2026, benefiting from the growing online learning habits in the adult learning market in China. The market size of China’s online</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adult learning market for personal interest courses, in terms of revenue, increased from RMB11.4 billion in 2017 to RMB22.7 billion (US$3.5</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billion) in 2021, at a CAGR of 18.8%, and is expected to reach RMB62.1 billion (US$9.6 billion) in 2026, at a CAGR of 22.3% from 2021 to 2026,</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according to the F&amp;S report. In particular, with respect to our financial literacy courses which have contributed significantly to our rapid growth,</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market size of China’s online financial learning market, in terms of revenue, increased from RMB5.0 billion in 2017 to RMB6.5 billion</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(US$1.0 billion) in 2021, at a CAGR of 6.8%, and is expected to reach RMB17.1 billion (US$2.6 billion) in 2026, at a CAGR of 21.3% from 2021</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2026, according to the same source. See “Industry Overview” for details.</w:t>
      </w:r>
    </w:p>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14" w:lineRule="exact"/>
        <w:rPr>
          <w:sz w:val="20"/>
          <w:szCs w:val="20"/>
          <w:color w:val="auto"/>
        </w:rPr>
      </w:pPr>
    </w:p>
    <w:p>
      <w:pPr>
        <w:ind w:left="380" w:right="160" w:firstLine="420"/>
        <w:spacing w:after="0" w:line="261" w:lineRule="auto"/>
        <w:rPr>
          <w:sz w:val="20"/>
          <w:szCs w:val="20"/>
          <w:color w:val="auto"/>
        </w:rPr>
      </w:pPr>
      <w:r>
        <w:rPr>
          <w:rFonts w:ascii="Times New Roman" w:cs="Times New Roman" w:eastAsia="Times New Roman" w:hAnsi="Times New Roman"/>
          <w:sz w:val="18"/>
          <w:szCs w:val="18"/>
          <w:color w:val="auto"/>
        </w:rPr>
        <w:t>QuantaSing Group Limited is an exempted company with limited liability incorporated under the laws of the Cayman Islands with no substantive operation. We carry out our business in China through Beijing Liangzizhige, our WFOE, and its contractual arrangements, commonly known as the VIE structure, with Beijing Feierlai, a variable interest entity based in China, and its nominee shareholder.</w:t>
      </w:r>
    </w:p>
    <w:p>
      <w:pPr>
        <w:spacing w:after="0" w:line="176" w:lineRule="exact"/>
        <w:rPr>
          <w:sz w:val="20"/>
          <w:szCs w:val="20"/>
          <w:color w:val="auto"/>
        </w:rPr>
      </w:pPr>
    </w:p>
    <w:p>
      <w:pPr>
        <w:ind w:left="380" w:right="40" w:firstLine="420"/>
        <w:spacing w:after="0" w:line="283" w:lineRule="auto"/>
        <w:rPr>
          <w:sz w:val="20"/>
          <w:szCs w:val="20"/>
          <w:color w:val="auto"/>
        </w:rPr>
      </w:pPr>
      <w:r>
        <w:rPr>
          <w:rFonts w:ascii="Times New Roman" w:cs="Times New Roman" w:eastAsia="Times New Roman" w:hAnsi="Times New Roman"/>
          <w:sz w:val="17"/>
          <w:szCs w:val="17"/>
          <w:color w:val="auto"/>
        </w:rPr>
        <w:t>We began our online learning services in July 2019 when we were within the group of Witty network Limited (“Witty network”), a Cayman Islands holding company held by our existing shareholders engaging in a wide range of businesses. In anticipation of our initial public offering and in order to focus on developing our current online learning and enterprise service business, our existing shareholders restructured our corporate</w:t>
      </w: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2"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226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3560" cy="62268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spacing w:after="0" w:line="250" w:lineRule="auto"/>
        <w:rPr>
          <w:sz w:val="20"/>
          <w:szCs w:val="20"/>
          <w:color w:val="auto"/>
        </w:rPr>
      </w:pPr>
      <w:r>
        <w:rPr>
          <w:rFonts w:ascii="Times New Roman" w:cs="Times New Roman" w:eastAsia="Times New Roman" w:hAnsi="Times New Roman"/>
          <w:sz w:val="18"/>
          <w:szCs w:val="18"/>
          <w:color w:val="auto"/>
        </w:rPr>
        <w:t>structure and spun-off our current business from Witty network and its affiliate, EW Technology Limited (“EW Technology”), into the entities within our group. These restructuring steps include, among others, incorporating QuantaSing Group Limited as our listing entity and establishing the VIE structure for our current business under QuantaSing Group Limited. The restructuring and spin-off was completed in May 2022. The VIE structure was established through a series of agreements entered into between our WFOE, the VIE and its nominee shareholder, comprising a voting rights proxy agreement, an equity pledge agreement, an exclusive consultancy and service agreement and an exclusive option agreement. The contractual arrangements allow us to (1) be considered as the primary beneficiary of the VIE for accounting purposes and consolidate the financial results of the affiliated entities, (2) receive substantially all of the economic benefits of the affiliated entities, (3) have the pledge right over the equity interests in the VIE as the pledgee, and (4) have an exclusive option to purchase all or part of the equity interests in the VIE when and to the extent permitted by PRC law. See “Corporate History and Structure” for details.</w:t>
      </w:r>
    </w:p>
    <w:p>
      <w:pPr>
        <w:spacing w:after="0" w:line="187" w:lineRule="exact"/>
        <w:rPr>
          <w:sz w:val="20"/>
          <w:szCs w:val="20"/>
          <w:color w:val="auto"/>
        </w:rPr>
      </w:pPr>
    </w:p>
    <w:p>
      <w:pPr>
        <w:ind w:left="380" w:right="60" w:firstLine="420"/>
        <w:spacing w:after="0" w:line="275" w:lineRule="auto"/>
        <w:rPr>
          <w:sz w:val="20"/>
          <w:szCs w:val="20"/>
          <w:color w:val="auto"/>
        </w:rPr>
      </w:pPr>
      <w:r>
        <w:rPr>
          <w:rFonts w:ascii="Times New Roman" w:cs="Times New Roman" w:eastAsia="Times New Roman" w:hAnsi="Times New Roman"/>
          <w:sz w:val="18"/>
          <w:szCs w:val="18"/>
          <w:color w:val="auto"/>
        </w:rPr>
        <w:t>The following diagram illustrates our simplified corporate structure, including our principal subsidiaries and the affiliated entities,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0" w:hanging="42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“Principal Shareholders” for details of our shareholding structures immediately prior to and after this offering.</w:t>
      </w:r>
    </w:p>
    <w:p>
      <w:pPr>
        <w:spacing w:after="0" w:line="24" w:lineRule="exact"/>
        <w:rPr>
          <w:rFonts w:ascii="Times New Roman" w:cs="Times New Roman" w:eastAsia="Times New Roman" w:hAnsi="Times New Roman"/>
          <w:sz w:val="18"/>
          <w:szCs w:val="18"/>
          <w:color w:val="auto"/>
        </w:rPr>
      </w:pPr>
    </w:p>
    <w:p>
      <w:pPr>
        <w:ind w:left="800" w:right="280" w:hanging="421"/>
        <w:spacing w:after="0" w:line="253"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Feierlai is wholly owned by Shenzhen Erwan Education Technology Co., Ltd., an entity owned as to 99.0% by Mr. Peng Li, our founder, chairman and chief executive officer, and as to 1.0% by Ms. Li Meng, mother of Mr. Li.</w:t>
      </w:r>
    </w:p>
    <w:p>
      <w:pPr>
        <w:spacing w:after="0" w:line="30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320" w:top="452" w:right="8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530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3560" cy="65309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firstLine="420"/>
        <w:spacing w:after="0" w:line="248" w:lineRule="auto"/>
        <w:rPr>
          <w:sz w:val="20"/>
          <w:szCs w:val="20"/>
          <w:color w:val="auto"/>
        </w:rPr>
      </w:pPr>
      <w:r>
        <w:rPr>
          <w:rFonts w:ascii="Times New Roman" w:cs="Times New Roman" w:eastAsia="Times New Roman" w:hAnsi="Times New Roman"/>
          <w:sz w:val="18"/>
          <w:szCs w:val="18"/>
          <w:color w:val="auto"/>
        </w:rPr>
        <w:t>The VIE structure is not equivalent of an investment in the equity interest of such entities. Neither QuantaSing Group Limited nor our WFOE owns any equity interests in the affiliated entities. Our contractual arrangements with the VIE and its nominee shareholder are not equivalent of an investment in the equity interest of the VIE. Investors are purchasing equity interests in QuantaSing Group Limited, the Cayman holding company, and are not purchasing, and may never hold, equity interests in the affiliated entities. Instead, we are regarded as the primary beneficiary of the VIE and consolidate the financial results of the affiliated entities under U.S. GAAP in light of the contractual arrangements. There are substantial uncertainties regarding the interpretation and application of current and future PRC laws, regulations and rules regarding the status of the rights of our Cayman Islands holding company with respect to its contractual arrangements with the VIE and its nominee shareholder through our WFOE, and we may incur substantial costs to enforce the terms of the arrangements. See “— Implications of Being a Company with the Holding Company Structure and the VIE Structure” for details. The VIE structure is associated with certain unique risks and uncertainties, including, among others, the risks that the contractual arrangements with the VIE and its shareholder may be less effective than direct ownership in providing operational control, and that such arrangement may not be enforceable under applicable laws and regulations. Such risks and uncertainties may result in a material adverse change in our operations, cause the value of any securities we offer to significantly decline or become worthless. See “— Implications of Being a Company with the Holding Company Structure and the VIE Structure — The VIE structure and its associated risks” and “Risk Factors — Risks Related to Our Corporate Structure” for details.</w:t>
      </w: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and Challenges</w:t>
      </w:r>
    </w:p>
    <w:p>
      <w:pPr>
        <w:spacing w:after="0" w:line="114" w:lineRule="exact"/>
        <w:rPr>
          <w:sz w:val="20"/>
          <w:szCs w:val="20"/>
          <w:color w:val="auto"/>
        </w:rPr>
      </w:pPr>
    </w:p>
    <w:p>
      <w:pPr>
        <w:jc w:val="both"/>
        <w:ind w:left="380" w:right="300" w:firstLine="420"/>
        <w:spacing w:after="0" w:line="261" w:lineRule="auto"/>
        <w:rPr>
          <w:sz w:val="20"/>
          <w:szCs w:val="20"/>
          <w:color w:val="auto"/>
        </w:rPr>
      </w:pPr>
      <w:r>
        <w:rPr>
          <w:rFonts w:ascii="Times New Roman" w:cs="Times New Roman" w:eastAsia="Times New Roman" w:hAnsi="Times New Roman"/>
          <w:sz w:val="18"/>
          <w:szCs w:val="18"/>
          <w:color w:val="auto"/>
        </w:rPr>
        <w:t>Investing in the ADSs involves significant risks. You should carefully consider all of the information in this prospectus before making an investment in the ADSs. We set forth below a summary of the principal risks and challenges we face, organized under relevant headings. These risks are discussed more fully in the section titled “Risk Factors.”</w:t>
      </w:r>
    </w:p>
    <w:p>
      <w:pPr>
        <w:spacing w:after="0" w:line="2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25" w:lineRule="exact"/>
        <w:rPr>
          <w:sz w:val="20"/>
          <w:szCs w:val="20"/>
          <w:color w:val="auto"/>
        </w:rPr>
      </w:pPr>
    </w:p>
    <w:p>
      <w:pPr>
        <w:ind w:left="1300" w:hanging="403"/>
        <w:spacing w:after="0" w:line="275"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history under the current business model and the risk that our historical performance and growth rate may not be indicative of our future performance;</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users or increase their spending;</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course offerings to effectively and timely address the change of market demands;</w:t>
      </w:r>
    </w:p>
    <w:p>
      <w:pPr>
        <w:spacing w:after="0" w:line="125" w:lineRule="exact"/>
        <w:rPr>
          <w:rFonts w:ascii="Times New Roman" w:cs="Times New Roman" w:eastAsia="Times New Roman" w:hAnsi="Times New Roman"/>
          <w:sz w:val="18"/>
          <w:szCs w:val="18"/>
          <w:color w:val="auto"/>
        </w:rPr>
      </w:pPr>
    </w:p>
    <w:p>
      <w:pPr>
        <w:ind w:left="1300" w:right="240" w:hanging="403"/>
        <w:spacing w:after="0" w:line="275"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uncertainties and changes in PRC regulations applicable to our businesses, including the licensing requirements for our business, data privacy and personal information protection;</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recognition;</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 competition in the industry that we operate in;</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or maintain our user acquisition efficiency;</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develop attractive course materials or maintain high-quality teaching staff;</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price our courses and other services effectively; and</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3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16" w:lineRule="exact"/>
        <w:rPr>
          <w:sz w:val="20"/>
          <w:szCs w:val="20"/>
          <w:color w:val="auto"/>
        </w:rPr>
      </w:pPr>
    </w:p>
    <w:p>
      <w:pPr>
        <w:ind w:left="380" w:right="340" w:firstLine="420"/>
        <w:spacing w:after="0" w:line="275" w:lineRule="auto"/>
        <w:rPr>
          <w:sz w:val="20"/>
          <w:szCs w:val="20"/>
          <w:color w:val="auto"/>
        </w:rPr>
      </w:pPr>
      <w:r>
        <w:rPr>
          <w:rFonts w:ascii="Times New Roman" w:cs="Times New Roman" w:eastAsia="Times New Roman" w:hAnsi="Times New Roman"/>
          <w:sz w:val="18"/>
          <w:szCs w:val="18"/>
          <w:color w:val="auto"/>
        </w:rPr>
        <w:t>We primarily conduct our business through the contractual arrangements established by our WFOE with the VIE and a holding company structure. We, our WFOE, the affiliated entities and holders of our securities</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320" w:top="452" w:right="7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779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3560" cy="57791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left="380" w:right="120"/>
        <w:spacing w:after="0" w:line="261" w:lineRule="auto"/>
        <w:rPr>
          <w:sz w:val="20"/>
          <w:szCs w:val="20"/>
          <w:color w:val="auto"/>
        </w:rPr>
      </w:pPr>
      <w:r>
        <w:rPr>
          <w:rFonts w:ascii="Times New Roman" w:cs="Times New Roman" w:eastAsia="Times New Roman" w:hAnsi="Times New Roman"/>
          <w:sz w:val="18"/>
          <w:szCs w:val="18"/>
          <w:color w:val="auto"/>
        </w:rPr>
        <w:t>(including the ADSs) are therefore subject to various legal and operational risks and uncertainties related to our corporate structure, which would result in a material adverse change in our operations, cause the value of any securities we offer to significantly decline or become worthless. Such risks and uncertainties include, but are not limited to, the following:</w:t>
      </w:r>
    </w:p>
    <w:p>
      <w:pPr>
        <w:spacing w:after="0" w:line="83" w:lineRule="exact"/>
        <w:rPr>
          <w:sz w:val="20"/>
          <w:szCs w:val="20"/>
          <w:color w:val="auto"/>
        </w:rPr>
      </w:pPr>
    </w:p>
    <w:p>
      <w:pPr>
        <w:ind w:left="1300" w:right="200" w:hanging="403"/>
        <w:spacing w:after="0" w:line="275"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that establish the structure of our operations in China to be found not compliant with PRC regulations relating to the relevant industries;</w:t>
      </w:r>
    </w:p>
    <w:p>
      <w:pPr>
        <w:spacing w:after="0" w:line="70" w:lineRule="exact"/>
        <w:rPr>
          <w:rFonts w:ascii="Times New Roman" w:cs="Times New Roman" w:eastAsia="Times New Roman" w:hAnsi="Times New Roman"/>
          <w:sz w:val="18"/>
          <w:szCs w:val="18"/>
          <w:color w:val="auto"/>
        </w:rPr>
      </w:pPr>
    </w:p>
    <w:p>
      <w:pPr>
        <w:ind w:left="1300" w:right="400" w:hanging="403"/>
        <w:spacing w:after="0" w:line="275"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VIE and its shareholder being less effective than direct ownership in providing operational control;</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with respect to the enforceability of the contractual arrangements with the VIE and its shareholder;</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of the VIE having conflicts of interest with us;</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contractual arrangements we have entered into with the VIE may be subject to scrutiny by the PRC tax authorities;</w:t>
      </w:r>
    </w:p>
    <w:p>
      <w:pPr>
        <w:spacing w:after="0" w:line="125" w:lineRule="exact"/>
        <w:rPr>
          <w:rFonts w:ascii="Times New Roman" w:cs="Times New Roman" w:eastAsia="Times New Roman" w:hAnsi="Times New Roman"/>
          <w:sz w:val="18"/>
          <w:szCs w:val="18"/>
          <w:color w:val="auto"/>
        </w:rPr>
      </w:pPr>
    </w:p>
    <w:p>
      <w:pPr>
        <w:ind w:left="1300" w:right="40" w:hanging="403"/>
        <w:spacing w:after="0" w:line="275"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interpretation and implementation, and any changes thereto, of the PRC Foreign Investment Law, and other PRC regulatory restrictions on foreign investment in the relevant industries; and</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the ability to use and enjoy assets held by the affiliated entities that are important to our business.</w:t>
      </w:r>
    </w:p>
    <w:p>
      <w:pPr>
        <w:spacing w:after="0" w:line="3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16" w:lineRule="exact"/>
        <w:rPr>
          <w:sz w:val="20"/>
          <w:szCs w:val="20"/>
          <w:color w:val="auto"/>
        </w:rPr>
      </w:pPr>
    </w:p>
    <w:p>
      <w:pPr>
        <w:ind w:left="380" w:right="260" w:firstLine="420"/>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being based in and having significant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spacing w:after="0" w:line="92" w:lineRule="exact"/>
        <w:rPr>
          <w:sz w:val="20"/>
          <w:szCs w:val="20"/>
          <w:color w:val="auto"/>
        </w:rPr>
      </w:pPr>
    </w:p>
    <w:p>
      <w:pPr>
        <w:ind w:left="1300" w:hanging="403"/>
        <w:spacing w:after="0" w:line="249"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government’s significant authority to intervene or influence our operations at any time and to exert more control over offerings conducted overseas and/or foreign investment in China-based issuers. For details, see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on pages 60 and 61, “Risk Factors — Risks Related to Doing Business in China — Recent regulatory development in China may exert more oversight and control over listing and offerings that are conducted overseas. The approval of the CSRC may be required in connection with this offering and our future capital raising activities, and, if required, we cannot assure you that we or the affiliated entities will be able to obtain such approval, in which case we may face regulatory sanctions for failure to obtain such approval for this offering and our future capital raising activities” on pages 61, 62 and 63, and “Risk Factors — Risks Related to Doing Business in China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on page 63;</w:t>
      </w:r>
    </w:p>
    <w:p>
      <w:pPr>
        <w:spacing w:after="0" w:line="93" w:lineRule="exact"/>
        <w:rPr>
          <w:rFonts w:ascii="Times New Roman" w:cs="Times New Roman" w:eastAsia="Times New Roman" w:hAnsi="Times New Roman"/>
          <w:sz w:val="18"/>
          <w:szCs w:val="18"/>
          <w:color w:val="auto"/>
        </w:rPr>
      </w:pPr>
    </w:p>
    <w:p>
      <w:pPr>
        <w:ind w:left="1300" w:right="420" w:hanging="403"/>
        <w:spacing w:after="0" w:line="275"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being delisted under the HFCAA if the PCAOB is unable to inspect auditors who are located in China. For details, see “Risk Factors — Risks Related to Doing Business in China — The ADSs will</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320" w:top="452" w:right="7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804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3560" cy="58045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00" w:right="300"/>
        <w:spacing w:after="0" w:line="256" w:lineRule="auto"/>
        <w:rPr>
          <w:sz w:val="20"/>
          <w:szCs w:val="20"/>
          <w:color w:val="auto"/>
        </w:rPr>
      </w:pPr>
      <w:r>
        <w:rPr>
          <w:rFonts w:ascii="Times New Roman" w:cs="Times New Roman" w:eastAsia="Times New Roman" w:hAnsi="Times New Roman"/>
          <w:sz w:val="18"/>
          <w:szCs w:val="18"/>
          <w:color w:val="auto"/>
        </w:rPr>
        <w:t>be delisted and our shares and ADSs will be prohibited from trading in the over-the-counter market under the Holding Foreign Companies Accountable Act if the PCAOB is unable to inspect or investigate completely auditors located in China for two consecutive years. The delisting of the ADSs, or the threat of their being delisted, may materially and adversely affect the value of your investment” on pages 64 and 65;</w:t>
      </w:r>
    </w:p>
    <w:p>
      <w:pPr>
        <w:spacing w:after="0" w:line="87" w:lineRule="exact"/>
        <w:rPr>
          <w:sz w:val="20"/>
          <w:szCs w:val="20"/>
          <w:color w:val="auto"/>
        </w:rPr>
      </w:pPr>
    </w:p>
    <w:p>
      <w:pPr>
        <w:ind w:left="1300" w:hanging="403"/>
        <w:spacing w:after="0" w:line="272" w:lineRule="auto"/>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from PRC economic, political and social conditions, as well as changes in any government policies, laws and regulations. For details, see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on pages 60 and 61;</w:t>
      </w:r>
    </w:p>
    <w:p>
      <w:pPr>
        <w:spacing w:after="0" w:line="75" w:lineRule="exact"/>
        <w:rPr>
          <w:rFonts w:ascii="Times New Roman" w:cs="Times New Roman" w:eastAsia="Times New Roman" w:hAnsi="Times New Roman"/>
          <w:sz w:val="17"/>
          <w:szCs w:val="17"/>
          <w:color w:val="auto"/>
        </w:rPr>
      </w:pPr>
    </w:p>
    <w:p>
      <w:pPr>
        <w:ind w:left="1300" w:right="120" w:hanging="403"/>
        <w:spacing w:after="0" w:line="253"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such relating to the enforcement of rules and regulations in China and the risk that rules and regulations can change quickly with little advance notice. For details, see “Risk Factors — Risks Related to Doing Business in China — Uncertainties with respect to the PRC legal system could have a material adverse effect on our business, results of operations, financial condition and future prospects, and cause the ADSs to significantly decline in value or become worthless” on pages 66 and 67; and</w:t>
      </w:r>
    </w:p>
    <w:p>
      <w:pPr>
        <w:spacing w:after="0" w:line="92" w:lineRule="exact"/>
        <w:rPr>
          <w:rFonts w:ascii="Times New Roman" w:cs="Times New Roman" w:eastAsia="Times New Roman" w:hAnsi="Times New Roman"/>
          <w:sz w:val="18"/>
          <w:szCs w:val="18"/>
          <w:color w:val="auto"/>
        </w:rPr>
      </w:pPr>
    </w:p>
    <w:p>
      <w:pPr>
        <w:ind w:left="1300" w:right="40" w:hanging="403"/>
        <w:spacing w:after="0" w:line="248"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dividends and other distributions on equity paid by our WFOE to fund any cash and financing requirements we may have, and limitation on the ability of our WFOE to make payments to us. To the extent our cash or assets in the business are in mainland China or Hong Kong or a mainland China or Hong Kong entity, the funds or assets may not be available to fund operations or for other use outside of mainland China or Hong Kong due to interventions in or the imposition of restrictions and limitations on the ability of QuantaSing Group Limited, our subsidiaries or the affiliated entities to transfer cash or assets. While there are currently no such restrictions on foreign exchange and our ability to transfer cash or assets between QuantaSing Group Limited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QuantaSing Group Limited, its subsidiaries and the affiliated entities to transfer or distribute cash within the organization, which could result in an inability of or prohibition on making transfers or distributions to entities outside of mainland China and Hong Kong. For details, see “Risk Factors — Risks Related to Doing Business in China — We rely on dividends and other distributions on equity paid by our WFOE to fund any cash and financing requirements we may have, and any limitation on the ability of our WFOE to make payments to us could have a material and adverse effect on our ability to conduct our business” on pages 68 and 69 and “Risk Factors — Risks Related to Doing Business in China — Restrictions on the remittance of Renminbi into and out of China and governmental control of currency conversion may limit our ability to pay dividends and other obligations, and affect the value of your investment” on page 70.</w:t>
      </w: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 and this offering</w:t>
      </w:r>
    </w:p>
    <w:p>
      <w:pPr>
        <w:spacing w:after="0" w:line="116" w:lineRule="exact"/>
        <w:rPr>
          <w:sz w:val="20"/>
          <w:szCs w:val="20"/>
          <w:color w:val="auto"/>
        </w:rPr>
      </w:pPr>
    </w:p>
    <w:p>
      <w:pPr>
        <w:ind w:left="380" w:right="100" w:firstLine="420"/>
        <w:spacing w:after="0" w:line="275" w:lineRule="auto"/>
        <w:rPr>
          <w:sz w:val="20"/>
          <w:szCs w:val="20"/>
          <w:color w:val="auto"/>
        </w:rPr>
      </w:pPr>
      <w:r>
        <w:rPr>
          <w:rFonts w:ascii="Times New Roman" w:cs="Times New Roman" w:eastAsia="Times New Roman" w:hAnsi="Times New Roman"/>
          <w:sz w:val="18"/>
          <w:szCs w:val="18"/>
          <w:color w:val="auto"/>
        </w:rPr>
        <w:t>In addition to the risks described above, we are also subject to general risks relating to the ADSs and this offering, including, but not limited to, the following:</w:t>
      </w:r>
    </w:p>
    <w:p>
      <w:pPr>
        <w:spacing w:after="0" w:line="71" w:lineRule="exact"/>
        <w:rPr>
          <w:sz w:val="20"/>
          <w:szCs w:val="20"/>
          <w:color w:val="auto"/>
        </w:rPr>
      </w:pPr>
    </w:p>
    <w:p>
      <w:pPr>
        <w:ind w:left="1300" w:right="580" w:hanging="403"/>
        <w:spacing w:after="0" w:line="275"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the ADSs may not develop and the trading price of the ADSs is likely to be volatile;</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2" w:right="7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948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3560" cy="59480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00" w:right="240" w:hanging="403"/>
        <w:spacing w:after="0" w:line="275"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70" w:lineRule="exact"/>
        <w:rPr>
          <w:rFonts w:ascii="Times New Roman" w:cs="Times New Roman" w:eastAsia="Times New Roman" w:hAnsi="Times New Roman"/>
          <w:sz w:val="18"/>
          <w:szCs w:val="18"/>
          <w:color w:val="auto"/>
        </w:rPr>
      </w:pPr>
    </w:p>
    <w:p>
      <w:pPr>
        <w:ind w:left="1300" w:right="520" w:hanging="403"/>
        <w:spacing w:after="0" w:line="275"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rules under the Exchange Act, and are exempt from certain provisions applicable to U.S. domestic public companies;</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the ADSs in the public market could cause the price of the ADSs to decline;</w:t>
      </w:r>
    </w:p>
    <w:p>
      <w:pPr>
        <w:spacing w:after="0" w:line="125" w:lineRule="exact"/>
        <w:rPr>
          <w:rFonts w:ascii="Times New Roman" w:cs="Times New Roman" w:eastAsia="Times New Roman" w:hAnsi="Times New Roman"/>
          <w:sz w:val="18"/>
          <w:szCs w:val="18"/>
          <w:color w:val="auto"/>
        </w:rPr>
      </w:pPr>
    </w:p>
    <w:p>
      <w:pPr>
        <w:ind w:left="1300" w:right="20" w:hanging="403"/>
        <w:spacing w:after="0" w:line="305" w:lineRule="auto"/>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8" w:lineRule="exact"/>
        <w:rPr>
          <w:rFonts w:ascii="Times New Roman" w:cs="Times New Roman" w:eastAsia="Times New Roman" w:hAnsi="Times New Roman"/>
          <w:sz w:val="17"/>
          <w:szCs w:val="17"/>
          <w:color w:val="auto"/>
        </w:rPr>
      </w:pPr>
    </w:p>
    <w:p>
      <w:pPr>
        <w:jc w:val="both"/>
        <w:ind w:left="1300" w:right="720" w:hanging="403"/>
        <w:spacing w:after="0" w:line="305" w:lineRule="auto"/>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a “controlled company” within the meaning of the Nasdaq Stock Market listing rules and, as a result, may rely on exemptions from certain corporate governance requirements that provide protection to shareholders of other companies; and</w:t>
      </w:r>
    </w:p>
    <w:p>
      <w:pPr>
        <w:spacing w:after="0" w:line="48" w:lineRule="exact"/>
        <w:rPr>
          <w:rFonts w:ascii="Times New Roman" w:cs="Times New Roman" w:eastAsia="Times New Roman" w:hAnsi="Times New Roman"/>
          <w:sz w:val="17"/>
          <w:szCs w:val="17"/>
          <w:color w:val="auto"/>
        </w:rPr>
      </w:pPr>
    </w:p>
    <w:p>
      <w:pPr>
        <w:ind w:left="1300" w:right="60" w:hanging="403"/>
        <w:spacing w:after="0" w:line="275"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your right to vote your Class A ordinary shares.</w:t>
      </w:r>
    </w:p>
    <w:p>
      <w:pPr>
        <w:spacing w:after="0" w:line="268" w:lineRule="exact"/>
        <w:rPr>
          <w:sz w:val="20"/>
          <w:szCs w:val="20"/>
          <w:color w:val="auto"/>
        </w:rPr>
      </w:pPr>
    </w:p>
    <w:p>
      <w:pPr>
        <w:ind w:left="380" w:right="332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Implications of Being a Company with the Holding Company Structure and the VIE Structure </w:t>
      </w:r>
      <w:r>
        <w:rPr>
          <w:rFonts w:ascii="Times New Roman" w:cs="Times New Roman" w:eastAsia="Times New Roman" w:hAnsi="Times New Roman"/>
          <w:sz w:val="18"/>
          <w:szCs w:val="18"/>
          <w:b w:val="1"/>
          <w:bCs w:val="1"/>
          <w:i w:val="1"/>
          <w:iCs w:val="1"/>
          <w:color w:val="auto"/>
        </w:rPr>
        <w:t>The VIE structure and its associated risks</w:t>
      </w:r>
    </w:p>
    <w:p>
      <w:pPr>
        <w:ind w:left="380" w:right="60" w:firstLine="420"/>
        <w:spacing w:after="0" w:line="253" w:lineRule="auto"/>
        <w:rPr>
          <w:sz w:val="20"/>
          <w:szCs w:val="20"/>
          <w:color w:val="auto"/>
        </w:rPr>
      </w:pPr>
      <w:r>
        <w:rPr>
          <w:rFonts w:ascii="Times New Roman" w:cs="Times New Roman" w:eastAsia="Times New Roman" w:hAnsi="Times New Roman"/>
          <w:sz w:val="18"/>
          <w:szCs w:val="18"/>
          <w:color w:val="auto"/>
        </w:rPr>
        <w:t>QuantaSing Group Limited is a Cayman Islands holding company with no substantive operations. We carry out our business through our WFOE and its contractual arrangements, commonly known as the VIE structure, with the VIE based in China and its nominee shareholder, due to the PRC regulatory restrictions on direct foreign investment in certain value-added telecommunication services and other internet related business. Investors in the ADSs are purchasing the equity securities of QuantaSing Group Limited, the Cayman Islands holding company, rather than the equity securities of the affiliated entities in which our operations are conducted.</w:t>
      </w:r>
    </w:p>
    <w:p>
      <w:pPr>
        <w:spacing w:after="0" w:line="185" w:lineRule="exact"/>
        <w:rPr>
          <w:sz w:val="20"/>
          <w:szCs w:val="20"/>
          <w:color w:val="auto"/>
        </w:rPr>
      </w:pPr>
    </w:p>
    <w:p>
      <w:pPr>
        <w:ind w:left="380" w:right="40" w:firstLine="420"/>
        <w:spacing w:after="0" w:line="252" w:lineRule="auto"/>
        <w:rPr>
          <w:sz w:val="20"/>
          <w:szCs w:val="20"/>
          <w:color w:val="auto"/>
        </w:rPr>
      </w:pPr>
      <w:r>
        <w:rPr>
          <w:rFonts w:ascii="Times New Roman" w:cs="Times New Roman" w:eastAsia="Times New Roman" w:hAnsi="Times New Roman"/>
          <w:sz w:val="18"/>
          <w:szCs w:val="18"/>
          <w:color w:val="auto"/>
        </w:rPr>
        <w:t>The VIE structure was established through a series of agreements entered into between our WFOE, the VIE and its nominee shareholder, comprising a voting rights proxy agreement, an equity pledge agreement, an exclusive consultancy and service agreement and an exclusive option agreement. The contractual arrangements allow us to (1) be considered as the primary beneficiary of the VIE for accounting purposes and consolidate the financial results of the affiliated entities, (2) receive substantially all of the economic benefits of the affiliated entities, (3) have the pledge right over the equity interests in the VIE as the pledgee, and (4) have an exclusive option to purchase all or part of the equity interests in the VIE when and to the extent permitted by PRC law. For details, see “Corporate History and Structure.”</w:t>
      </w:r>
    </w:p>
    <w:p>
      <w:pPr>
        <w:spacing w:after="0" w:line="185" w:lineRule="exact"/>
        <w:rPr>
          <w:sz w:val="20"/>
          <w:szCs w:val="20"/>
          <w:color w:val="auto"/>
        </w:rPr>
      </w:pPr>
    </w:p>
    <w:p>
      <w:pPr>
        <w:ind w:left="380" w:right="20" w:firstLine="420"/>
        <w:spacing w:after="0" w:line="256" w:lineRule="auto"/>
        <w:rPr>
          <w:sz w:val="20"/>
          <w:szCs w:val="20"/>
          <w:color w:val="auto"/>
        </w:rPr>
      </w:pPr>
      <w:r>
        <w:rPr>
          <w:rFonts w:ascii="Times New Roman" w:cs="Times New Roman" w:eastAsia="Times New Roman" w:hAnsi="Times New Roman"/>
          <w:sz w:val="18"/>
          <w:szCs w:val="18"/>
          <w:color w:val="auto"/>
        </w:rPr>
        <w:t>However, neither QuantaSing Group Limited nor our WFOE owns any equity interests in the affiliated entities. Our contractual arrangements with the VIE and its nominee shareholder are not equivalent of an investment in the equity interest of the affiliated entities. Instead, as described above, we are regarded as the primary beneficiary of the VIE and consolidate the financial results of the affiliated entities under U.S. GAAP in light of the VIE structure.</w:t>
      </w:r>
    </w:p>
    <w:p>
      <w:pPr>
        <w:spacing w:after="0" w:line="181" w:lineRule="exact"/>
        <w:rPr>
          <w:sz w:val="20"/>
          <w:szCs w:val="20"/>
          <w:color w:val="auto"/>
        </w:rPr>
      </w:pPr>
    </w:p>
    <w:p>
      <w:pPr>
        <w:ind w:left="380" w:firstLine="420"/>
        <w:spacing w:after="0" w:line="252" w:lineRule="auto"/>
        <w:rPr>
          <w:sz w:val="20"/>
          <w:szCs w:val="20"/>
          <w:color w:val="auto"/>
        </w:rPr>
      </w:pPr>
      <w:r>
        <w:rPr>
          <w:rFonts w:ascii="Times New Roman" w:cs="Times New Roman" w:eastAsia="Times New Roman" w:hAnsi="Times New Roman"/>
          <w:sz w:val="18"/>
          <w:szCs w:val="18"/>
          <w:color w:val="auto"/>
        </w:rPr>
        <w:t>The VIE structure involves unique risks to investors in the ADSs. It may be less effective than direct ownership in providing us with operational control over the VIE or its subsidiaries and we may incur substantial costs to enforce the terms of the arrangements. For instance, the VIE and its shareholder could breach their contractual arrangements with us by, among other things, failing to conduct the operations of the VIE in an acceptable manner or taking other actions that are detrimental to our interests. If we had direct ownership of the VIE in China, we would be able to exercise our rights as a shareholder to effect changes in the board of directors of the VIE, which in turn could implement changes, subject to any applicable fiduciary obligations, at the</w:t>
      </w: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320" w:top="452"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770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3560" cy="577088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right="60"/>
        <w:spacing w:after="0" w:line="253" w:lineRule="auto"/>
        <w:rPr>
          <w:sz w:val="20"/>
          <w:szCs w:val="20"/>
          <w:color w:val="auto"/>
        </w:rPr>
      </w:pPr>
      <w:r>
        <w:rPr>
          <w:rFonts w:ascii="Times New Roman" w:cs="Times New Roman" w:eastAsia="Times New Roman" w:hAnsi="Times New Roman"/>
          <w:sz w:val="18"/>
          <w:szCs w:val="18"/>
          <w:color w:val="auto"/>
        </w:rPr>
        <w:t>management and operational level. However, under the current contractual arrangements, we rely on the performance by the VIE and its shareholder of their obligations under the contracts to direct the VIE’s activities. The shareholder of the VIE may not act in the best interests of our company or may not perform its obligations under these contracts.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w:t>
      </w:r>
    </w:p>
    <w:p>
      <w:pPr>
        <w:spacing w:after="0" w:line="185" w:lineRule="exact"/>
        <w:rPr>
          <w:sz w:val="20"/>
          <w:szCs w:val="20"/>
          <w:color w:val="auto"/>
        </w:rPr>
      </w:pPr>
    </w:p>
    <w:p>
      <w:pPr>
        <w:ind w:left="380" w:right="20" w:firstLine="420"/>
        <w:spacing w:after="0" w:line="248" w:lineRule="auto"/>
        <w:rPr>
          <w:sz w:val="20"/>
          <w:szCs w:val="20"/>
          <w:color w:val="auto"/>
        </w:rPr>
      </w:pPr>
      <w:r>
        <w:rPr>
          <w:rFonts w:ascii="Times New Roman" w:cs="Times New Roman" w:eastAsia="Times New Roman" w:hAnsi="Times New Roman"/>
          <w:sz w:val="18"/>
          <w:szCs w:val="18"/>
          <w:color w:val="auto"/>
        </w:rPr>
        <w:t>We may face challenges in enforcing the contractual arrangements due to jurisdictional and legal limitations. There are substantial uncertainties regarding the interpretation and application of current and future PRC laws, regulations and rules regarding the status of the rights of our Cayman Islands holding company with respect to its contractual arrangements with the VIE and its nominee shareholder through our WFOE. As of the date of this prospectus, the agreements under the contractual arrangements among our WFOE, the VIE and its nominee shareholder have not been tested in a court of law. It is uncertain whether any new PRC laws or regulations relating to VIE structures will be adopted or, if adopted, what they would provide. If we or the VIE is found to be in violation of any existing or future PRC laws or regulations or fail to obtain or maintain any of the required licenses, permits, registrations or approvals, the relevant PRC regulatory authorities would have broad discretion to take action in dealing with such violations or failures. The PRC regulatory authorities could disallow the VIE structure at any time in the future. If the PRC government deems that our contractual arrangements with the VIE do not comply with PRC regulatory restrictions on foreign investment in the relevant industries, or if these regulations or the interpretation of existing regulations change or are interpreted differently in the future, we could be subject to severe penalties and may incur substantial costs to enforce the terms of the arrangements, or be forced to relinquish our interests in those operations. Our Cayman Islands holding company, our subsidiaries, the affiliated entities, and investors in our securities (including the ADS) face uncertainty with respect to potential future actions by the PRC government that could affect the enforceability of the contractual arrangements with the VIE and, consequently, significantly affect the financial performance of our company and the affiliated entities as a whole. For details, see “Risk Factors — Risks Related to Our Corporate Structure.”</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Revenues contributed by the affiliated entities accounted for substantially all of our total revenues in the fiscal years ended June 30, 2021 and</w:t>
      </w:r>
    </w:p>
    <w:p>
      <w:pPr>
        <w:spacing w:after="0" w:line="36" w:lineRule="exact"/>
        <w:rPr>
          <w:sz w:val="20"/>
          <w:szCs w:val="20"/>
          <w:color w:val="auto"/>
        </w:rPr>
      </w:pPr>
    </w:p>
    <w:p>
      <w:pPr>
        <w:ind w:left="380" w:right="60"/>
        <w:spacing w:after="0" w:line="247" w:lineRule="auto"/>
        <w:rPr>
          <w:sz w:val="20"/>
          <w:szCs w:val="20"/>
          <w:color w:val="auto"/>
        </w:rPr>
      </w:pPr>
      <w:r>
        <w:rPr>
          <w:rFonts w:ascii="Times New Roman" w:cs="Times New Roman" w:eastAsia="Times New Roman" w:hAnsi="Times New Roman"/>
          <w:sz w:val="18"/>
          <w:szCs w:val="18"/>
          <w:color w:val="auto"/>
        </w:rPr>
        <w:t>2022 and the three months ended September 30, 2022. For a condensed consolidation schedule depicting the results of operations, financial position and cash flows for us, our WFOE and the VIE, see “— Summary Consolidated Financial and Operating Data” and “Management’s Discussion and Analysis of Financial Condition and Results of Operations.” For details of the permissions and licenses required for operating our business in China and the related limitations, see “— Regulatory Permissions and Licenses for Our Operations in China and This Offering” and “Risk Factors — Risks Related to Our Business and Industry — We may face risks and uncertainties with respect to the licensing requirement for our business. Any lack of or failure to maintain requisite approvals, licenses or permits applicable to us may have a material and adverse impact on our business, results of operations and financial condition.”</w:t>
      </w: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and asset flows through our organization</w:t>
      </w:r>
    </w:p>
    <w:p>
      <w:pPr>
        <w:spacing w:after="0" w:line="116" w:lineRule="exact"/>
        <w:rPr>
          <w:sz w:val="20"/>
          <w:szCs w:val="20"/>
          <w:color w:val="auto"/>
        </w:rPr>
      </w:pPr>
    </w:p>
    <w:p>
      <w:pPr>
        <w:ind w:left="380" w:firstLine="420"/>
        <w:spacing w:after="0" w:line="250" w:lineRule="auto"/>
        <w:rPr>
          <w:sz w:val="20"/>
          <w:szCs w:val="20"/>
          <w:color w:val="auto"/>
        </w:rPr>
      </w:pPr>
      <w:r>
        <w:rPr>
          <w:rFonts w:ascii="Times New Roman" w:cs="Times New Roman" w:eastAsia="Times New Roman" w:hAnsi="Times New Roman"/>
          <w:sz w:val="18"/>
          <w:szCs w:val="18"/>
          <w:color w:val="auto"/>
        </w:rPr>
        <w:t>In light of our holding company structure and the VIE structure, our ability to pay dividends to the shareholders, including the investors in the ADSs, and to service any debt we may incur may highly depend upon dividends paid by our WFOE to us and service fees paid by the affiliated entities to our WFOE, despite that we may obtain financing at the holding company level through other methods. For instance, if any of our WFOE or the VIE incurs debt on its own behalf in the future, the instruments governing such debt may restrict its ability to pay dividends to us and the investors in the ADS as well as the ability to settle amounts owed under the contractual arrangements. As of the date of this prospectus, none of QuantaSing Group Limited, our WFOE and the VIE has paid any dividends or made any distributions to their respective shareholder(s), including any U.S. investors. In the fiscal years ended June 30, 2021 and 2022, the total amount of the service fees that the VIE paid to our WFOE under the contractual arrangements was RMB204.1 million and RMB239.6 million, respectively. For details, see</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320" w:top="452"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635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3560" cy="5635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right="60"/>
        <w:spacing w:after="0" w:line="252" w:lineRule="auto"/>
        <w:rPr>
          <w:sz w:val="20"/>
          <w:szCs w:val="20"/>
          <w:color w:val="auto"/>
        </w:rPr>
      </w:pPr>
      <w:r>
        <w:rPr>
          <w:rFonts w:ascii="Times New Roman" w:cs="Times New Roman" w:eastAsia="Times New Roman" w:hAnsi="Times New Roman"/>
          <w:sz w:val="18"/>
          <w:szCs w:val="18"/>
          <w:color w:val="auto"/>
        </w:rPr>
        <w:t>“— Summary Consolidated Financial and Operating Data — Financial Information Relating to the Affiliated Entities.” We expect to continue to distribute earnings and settle the service fees owed under the VIE agreements at the request of our WFOE and based on our business needs, and do not expect to declare dividend in the foreseeable future. We currently have not maintained any cash management policies that specifically dictate how funds shall be transferred among QuantaSing Group Limited, the subsidiaries of QuantaSing Group Limited (including our WFOE), the affiliated entities and investors. We will determine the payment of dividends and fund transfer based on our specific business needs in accordance with the applicable laws and regulations.</w:t>
      </w:r>
    </w:p>
    <w:p>
      <w:pPr>
        <w:spacing w:after="0" w:line="185" w:lineRule="exact"/>
        <w:rPr>
          <w:sz w:val="20"/>
          <w:szCs w:val="20"/>
          <w:color w:val="auto"/>
        </w:rPr>
      </w:pPr>
    </w:p>
    <w:p>
      <w:pPr>
        <w:ind w:left="380" w:firstLine="420"/>
        <w:spacing w:after="0" w:line="248" w:lineRule="auto"/>
        <w:rPr>
          <w:sz w:val="20"/>
          <w:szCs w:val="20"/>
          <w:color w:val="auto"/>
        </w:rPr>
      </w:pPr>
      <w:r>
        <w:rPr>
          <w:rFonts w:ascii="Times New Roman" w:cs="Times New Roman" w:eastAsia="Times New Roman" w:hAnsi="Times New Roman"/>
          <w:sz w:val="18"/>
          <w:szCs w:val="18"/>
          <w:color w:val="auto"/>
        </w:rPr>
        <w:t>Under PRC laws and regulations, our WFOE is permitted to pay dividends only out of their retained earnings, if any, as determined in accordance with PRC accounting standards and regulations. Furthermore, our WFOE and the affiliated entities are required to make appropriations to certain statutory reserve funds or may make appropriations to certain discretionary funds, which are not distributable as cash dividends except in the event of a solvent liquidation of the companies. Remittance of dividends by our WFOE out of China is also subject to certain procedures with the banks designated by the PRC State Administration of Foreign Exchange (“SAFE”). These restrictions are benchmarked against the paid-up capital and the statutory reserve funds of our WFOE and the net assets of the VIE in which we have no legal ownership. In addition, while there are currently no such restrictions on foreign exchange and our ability to transfer cash or assets between QuantaSing Group Limited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QuantaSing Group Limited, its subsidiaries and the affiliated entities to transfer or distribute cash within the organization, which could result in an inability of or prohibition on making transfers or distributions to entities outside of mainland China and Hong Kong. For details, see “Risk Factors — Risks Related to Doing Business in China — We rely on dividends and other distributions on equity paid by our WFOE to fund any cash and financing requirements we may have, and any limitation on the ability of our WFOE to make payments to us could have a material and adverse effect on our ability to conduct our business,” and “Risk Factors — Risks Related to Doing Business in China —Restrictions on the remittance of Renminbi into and out of China and governmental control of currency conversion may limit our ability to pay dividends and other obligations, and affect the value of your investment.”</w:t>
      </w:r>
    </w:p>
    <w:p>
      <w:pPr>
        <w:spacing w:after="0" w:line="192" w:lineRule="exact"/>
        <w:rPr>
          <w:sz w:val="20"/>
          <w:szCs w:val="20"/>
          <w:color w:val="auto"/>
        </w:rPr>
      </w:pPr>
    </w:p>
    <w:p>
      <w:pPr>
        <w:ind w:left="380" w:firstLine="420"/>
        <w:spacing w:after="0" w:line="264" w:lineRule="auto"/>
        <w:rPr>
          <w:sz w:val="20"/>
          <w:szCs w:val="20"/>
          <w:color w:val="auto"/>
        </w:rPr>
      </w:pPr>
      <w:r>
        <w:rPr>
          <w:rFonts w:ascii="Times New Roman" w:cs="Times New Roman" w:eastAsia="Times New Roman" w:hAnsi="Times New Roman"/>
          <w:sz w:val="17"/>
          <w:szCs w:val="17"/>
          <w:color w:val="auto"/>
        </w:rPr>
        <w:t>Under PRC laws and regulations, we, the Cayman Islands holding company, may fund our WFOE only through capital contributions or loans, and fund the affiliated entities only through loans, subject to satisfaction of applicable government registration and approval requirements. As of June 30, 2021 and 2022, and September 30, 2022, (1) the aggregate amount of capital contribution by EW Technology Limited to our subsidiaries in the BVI and Hong Kong was nil, RMB51.7 million and RMB51.7 million, respectively, which was presented in “net cash provided by transactions with related parties” of the “cash flows from financing activities” under the “Other subsidiaries” column in the condensed consolidating cash flows information; (2) the aggregate amount of capital contribution by QuantaSing Group Limited to our subsidiaries in the BVI and Hong Kong was nil, RMB47.1 million and RMB47.1 million, respectively, which was presented in “net cash used in transactions with intra-group companies” of the “cash flows from investing activities” under the “QuantaSing Group Limited” column, and in “net cash provided by transactions with intragroup companies” of the “cash flows from financing activities” under the “Other subsidiaries” column in the condensed consolidating cash flows information; (3) the aggregate amount of capital contribution by QuantaSing Group Limited to our WFOE through our subsidiaries in the BVI and Hong Kong was nil, RMB64.2 million and RMB64.2 million, respectively, which was presented in “net cash used in transactions with intra-group companies” of the “cash flows from investing activities” under the “Other subsidiaries” column, and was also included as a part of “net cash provided by transactions with intra-group companies” of the “cash flows from financing activities” under the “Primary beneficiary of the VIE” column in the condensed consolidating cash flows information; and (4) the outstanding balance of the principal</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452" w:right="7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015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3560" cy="60159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spacing w:after="0" w:line="249" w:lineRule="auto"/>
        <w:rPr>
          <w:sz w:val="20"/>
          <w:szCs w:val="20"/>
          <w:color w:val="auto"/>
        </w:rPr>
      </w:pPr>
      <w:r>
        <w:rPr>
          <w:rFonts w:ascii="Times New Roman" w:cs="Times New Roman" w:eastAsia="Times New Roman" w:hAnsi="Times New Roman"/>
          <w:sz w:val="18"/>
          <w:szCs w:val="18"/>
          <w:color w:val="auto"/>
        </w:rPr>
        <w:t>amount of loans by our WFOE to the VIE was RMB7.0 million, nil and nil, respectively, and was included in “amounts due to related parties” under “The VIE and its subsidiaries” column in the condensed consolidating balance sheet information, all of which were provided by Witty network’s then wholly-owned PRC subsidiary and had been repaid before the completion of the restructuring and spin-off; and (5) the outstanding balance of the principal amount of loans by the VIE to our WFOE was nil, RMB156.0 million and RMB130.2 million, respectively, and was presented in “amounts due from intra-group companies” under “The VIE and its subsidiaries” column, and “amounts due to intra-group companies” under the “Primary beneficiary of the VIE” column in the condensed consolidating balance sheet information. For the fiscal year ended June 30, 2021 and 2022, and three months ended September 30, 2021, the net cash transferred by the VIE to our WFOE was nil, RMB156.0 million and RMB21.0 million, respectively, in addition to the service fees paid under the contractual arrangements. For the three months ended September 30, 2022, the net cash repaid by our WFOE to the VIE was RMB25.8 million. In the fiscal years ended June 30, 2021 and 2022, and the three months ended September 30, 2022, no assets other than cash were transferred within our organization. For details, see “— Summary Consolidated Financial and Operating Data — Financial Information Relating to the Affiliated Entities.”</w:t>
      </w:r>
    </w:p>
    <w:p>
      <w:pPr>
        <w:spacing w:after="0" w:line="191" w:lineRule="exact"/>
        <w:rPr>
          <w:sz w:val="20"/>
          <w:szCs w:val="20"/>
          <w:color w:val="auto"/>
        </w:rPr>
      </w:pPr>
    </w:p>
    <w:p>
      <w:pPr>
        <w:ind w:left="380" w:right="20" w:firstLine="420"/>
        <w:spacing w:after="0" w:line="256" w:lineRule="auto"/>
        <w:rPr>
          <w:sz w:val="20"/>
          <w:szCs w:val="20"/>
          <w:color w:val="auto"/>
        </w:rPr>
      </w:pPr>
      <w:r>
        <w:rPr>
          <w:rFonts w:ascii="Times New Roman" w:cs="Times New Roman" w:eastAsia="Times New Roman" w:hAnsi="Times New Roman"/>
          <w:sz w:val="18"/>
          <w:szCs w:val="18"/>
          <w:color w:val="auto"/>
        </w:rPr>
        <w:t>Under the Cayman Islands laws, QuantaSing Group Limited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(1) we have taxable earnings in the VIE and (2) we determine to pay a dividend in the future:</w:t>
      </w:r>
    </w:p>
    <w:p>
      <w:pPr>
        <w:spacing w:after="0" w:line="201" w:lineRule="exact"/>
        <w:rPr>
          <w:sz w:val="20"/>
          <w:szCs w:val="20"/>
          <w:color w:val="auto"/>
        </w:rPr>
      </w:pPr>
    </w:p>
    <w:tbl>
      <w:tblPr>
        <w:tblLayout w:type="fixed"/>
        <w:tblInd w:w="20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Tax calculation</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6"/>
                <w:szCs w:val="26"/>
                <w:color w:val="auto"/>
                <w:vertAlign w:val="superscript"/>
              </w:rPr>
              <w:t>(2)</w:t>
            </w: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2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3"/>
        </w:trPr>
        <w:tc>
          <w:tcPr>
            <w:tcW w:w="58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4"/>
                <w:szCs w:val="24"/>
                <w:color w:val="auto"/>
                <w:vertAlign w:val="superscript"/>
              </w:rPr>
              <w:t>(3)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3"/>
        </w:trPr>
        <w:tc>
          <w:tcPr>
            <w:tcW w:w="58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4"/>
                <w:szCs w:val="24"/>
                <w:color w:val="auto"/>
                <w:vertAlign w:val="superscript"/>
              </w:rPr>
              <w:t>(4)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shareholders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right="20" w:hanging="421"/>
        <w:spacing w:after="0" w:line="257"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hypothetical example, the tax calculation has been simplified. The hypothetical book pre-tax earnings amount is assumed to equal PRC taxable income.</w:t>
      </w:r>
    </w:p>
    <w:p>
      <w:pPr>
        <w:spacing w:after="0" w:line="1" w:lineRule="exact"/>
        <w:rPr>
          <w:rFonts w:ascii="Times New Roman" w:cs="Times New Roman" w:eastAsia="Times New Roman" w:hAnsi="Times New Roman"/>
          <w:sz w:val="18"/>
          <w:szCs w:val="18"/>
          <w:color w:val="auto"/>
        </w:rPr>
      </w:pPr>
    </w:p>
    <w:p>
      <w:pPr>
        <w:ind w:left="800" w:right="440" w:hanging="421"/>
        <w:spacing w:after="0" w:line="24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8"/>
          <w:szCs w:val="18"/>
          <w:color w:val="auto"/>
        </w:rPr>
      </w:pPr>
    </w:p>
    <w:p>
      <w:pPr>
        <w:ind w:left="800" w:right="40" w:hanging="421"/>
        <w:spacing w:after="0" w:line="24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Law and its implementation rules impose a withholding income tax of 10% on dividends distributed by a foreign invested enterprise in China to its immediate holding company outside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There is no incremental tax at Hong Kong level for any dividend distribution to QuantaSing Group Limited.</w:t>
      </w:r>
    </w:p>
    <w:p>
      <w:pPr>
        <w:spacing w:after="0" w:line="2" w:lineRule="exact"/>
        <w:rPr>
          <w:rFonts w:ascii="Times New Roman" w:cs="Times New Roman" w:eastAsia="Times New Roman" w:hAnsi="Times New Roman"/>
          <w:sz w:val="18"/>
          <w:szCs w:val="18"/>
          <w:color w:val="auto"/>
        </w:rPr>
      </w:pPr>
    </w:p>
    <w:p>
      <w:pPr>
        <w:ind w:left="800" w:right="400" w:hanging="421"/>
        <w:spacing w:after="0" w:line="253"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10% withholding income tax rate is imposed, the withholding tax will be 7.5% and the amount to be distributed as dividend at Hong Kong level and the net distribution to QuantaSing Group Limited will be 67.5%.</w:t>
      </w:r>
    </w:p>
    <w:p>
      <w:pPr>
        <w:spacing w:after="0" w:line="183" w:lineRule="exact"/>
        <w:rPr>
          <w:sz w:val="20"/>
          <w:szCs w:val="20"/>
          <w:color w:val="auto"/>
        </w:rPr>
      </w:pPr>
    </w:p>
    <w:p>
      <w:pPr>
        <w:ind w:left="380" w:right="80" w:firstLine="420"/>
        <w:spacing w:after="0" w:line="251"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 will be distributed as fees to our WFOE under tax neutral contractual arrangements. If, in the future, the accumulated earnings of the VIE exceed the service fees paid to our WFOE (or if the current and contemplated fee structure between the inter-group entities is determined to be non-substantive and disallowed by PRC tax authorities), the VIE could make a non-deductible transfer to our WFOE for the amounts of the stranded cash in the VIE. This would result in such transfer being non-deductible expenses for the VIE but still taxable income for our WFOE. Such a transfer and the related tax burdens would reduce our after-tax income to approximately 50.6% of the pre-tax income. Our management believes that there is only a remote possibility that this scenario would happen.</w:t>
      </w: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320" w:top="452"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703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3560" cy="57035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Dividend Distribution and Taxation</w:t>
      </w:r>
    </w:p>
    <w:p>
      <w:pPr>
        <w:spacing w:after="0" w:line="114" w:lineRule="exact"/>
        <w:rPr>
          <w:sz w:val="20"/>
          <w:szCs w:val="20"/>
          <w:color w:val="auto"/>
        </w:rPr>
      </w:pPr>
    </w:p>
    <w:p>
      <w:pPr>
        <w:ind w:left="380" w:right="40" w:firstLine="42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none of QuantaSing Group Limited, our WFOE and the VIE has paid any dividends or made any distributions to their respective shareholder(s), including any U.S. investors, nor do we have any present plan to pay any cash dividends on our ordinary shares in the foreseeable future. We currently intend to retain most, if not all, of our available funds and any future earnings to operate and expand our business. See “Dividend Policy” for details.</w:t>
      </w:r>
    </w:p>
    <w:p>
      <w:pPr>
        <w:spacing w:after="0" w:line="181" w:lineRule="exact"/>
        <w:rPr>
          <w:sz w:val="20"/>
          <w:szCs w:val="20"/>
          <w:color w:val="auto"/>
        </w:rPr>
      </w:pPr>
    </w:p>
    <w:p>
      <w:pPr>
        <w:ind w:left="380" w:right="60" w:firstLine="420"/>
        <w:spacing w:after="0" w:line="252" w:lineRule="auto"/>
        <w:rPr>
          <w:sz w:val="20"/>
          <w:szCs w:val="20"/>
          <w:color w:val="auto"/>
        </w:rPr>
      </w:pPr>
      <w:r>
        <w:rPr>
          <w:rFonts w:ascii="Times New Roman" w:cs="Times New Roman" w:eastAsia="Times New Roman" w:hAnsi="Times New Roman"/>
          <w:sz w:val="18"/>
          <w:szCs w:val="18"/>
          <w:color w:val="auto"/>
        </w:rPr>
        <w:t>Subject to the “passive foreign investment company” rules, the gross amount of any distribution that we make to a U.S. Holder (as defined in “Taxation — United States Federal Income Taxation”) with respect to the ADSs or Class A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 See “Taxation” for details.</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Regulatory Permissions and Licenses for Our Operations in China and This Offering</w:t>
      </w:r>
    </w:p>
    <w:p>
      <w:pPr>
        <w:spacing w:after="0" w:line="114" w:lineRule="exact"/>
        <w:rPr>
          <w:sz w:val="20"/>
          <w:szCs w:val="20"/>
          <w:color w:val="auto"/>
        </w:rPr>
      </w:pPr>
    </w:p>
    <w:p>
      <w:pPr>
        <w:ind w:left="380" w:firstLine="420"/>
        <w:spacing w:after="0" w:line="248" w:lineRule="auto"/>
        <w:rPr>
          <w:sz w:val="20"/>
          <w:szCs w:val="20"/>
          <w:color w:val="auto"/>
        </w:rPr>
      </w:pPr>
      <w:r>
        <w:rPr>
          <w:rFonts w:ascii="Times New Roman" w:cs="Times New Roman" w:eastAsia="Times New Roman" w:hAnsi="Times New Roman"/>
          <w:sz w:val="18"/>
          <w:szCs w:val="18"/>
          <w:color w:val="auto"/>
        </w:rPr>
        <w:t>We, through our WFOE and the affiliated entities, conduct our operations in China. Our operations in China are governed by PRC laws and regulations. We and the affiliated entities are required to obtain certain licenses, permits and approvals from relevant governmental authorities in China in order to operate our business and conduct this offering. As of the date of this prospectus, as advised by our PRC counsel, CM Law Firm, our WFOE and the affiliated entities have obtained the licenses, permits and registrations from the PRC government authorities necessary for our business operations in China, including, among others, the Value-added Telecommunications Business Operating License for internet information service, the Permit for Production and Operation of Radio and Television Programs, and the Publication Operation License, except for the License for Online Transmission of Audio-Visual Program for offering certain courses in live streaming or audio-visual contents. Given the uncertainties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For instance, we or the affiliated entities may be required to obtain the Online Publishing Service License for our online learning services. We cannot assure you that we or the affiliated entities will be able to obtain, in a timely manner or at all, or maintain such licenses, permits or approvals, and we or the affiliated entities may also inadvertently conclude that such permissions or approvals are not required. Any lack of or failure to maintain requisite approvals, licenses or permits applicable to us or the affiliated entities may have a material adverse impact on our business, results of operations, financial condition and prospects and cause the value of any securities we offer to significantly decline or become worthless. For details, see “Risk Factors — Risks Related to Our Business and Industry — We may face risks and uncertainties with respect to the licensing requirement for our business. Any lack of or failure to maintain requisite approvals, licenses or permits applicable to us may have a material and adverse impact on our business, results of operations and financial condition.”</w:t>
      </w:r>
    </w:p>
    <w:p>
      <w:pPr>
        <w:spacing w:after="0" w:line="192" w:lineRule="exact"/>
        <w:rPr>
          <w:sz w:val="20"/>
          <w:szCs w:val="20"/>
          <w:color w:val="auto"/>
        </w:rPr>
      </w:pPr>
    </w:p>
    <w:p>
      <w:pPr>
        <w:ind w:left="380" w:right="20" w:firstLine="420"/>
        <w:spacing w:after="0" w:line="252"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(the “Cybersecurity Review Measures”), which became effective on February 15, 2022. See “Regulation — Regulations on Internet Information Security and Censorship.” As a network platform operator who possesses personal information of more than one million users for purposes of the Cybersecurity Review Measures, we have applied for and completed a cybersecurity review for this offering and listing pursuant to the Cybersecurity Review Measures. The review was completed in August 2022. We have not received any material adverse findings in such review.</w:t>
      </w:r>
    </w:p>
    <w:p>
      <w:pPr>
        <w:spacing w:after="0" w:line="2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320" w:top="452" w:right="7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906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3560" cy="59061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right="40" w:firstLine="420"/>
        <w:spacing w:after="0" w:line="248" w:lineRule="auto"/>
        <w:rPr>
          <w:sz w:val="20"/>
          <w:szCs w:val="20"/>
          <w:color w:val="auto"/>
        </w:rPr>
      </w:pPr>
      <w:r>
        <w:rPr>
          <w:rFonts w:ascii="Times New Roman" w:cs="Times New Roman" w:eastAsia="Times New Roman" w:hAnsi="Times New Roman"/>
          <w:sz w:val="18"/>
          <w:szCs w:val="18"/>
          <w:color w:val="auto"/>
        </w:rPr>
        <w:t>On December 24, 2021, the CSRC released the Provisions of the State Council on the Administration of Overseas Securities Offering and Listing by Domestic Companies (Draft for Comments) and the Administrative Measures for the Filing of Overseas Securities Offering and Listing by Domestic Companies (Draft for Comments) (the “Draft Rules Regarding Overseas Listing”), for public comments. The Draft Rules Regarding Overseas Listing, if implemented as proposed, would apply to all the overseas equity financing and listing activities of China-based companies, including initial and follow-on offerings of shares, depository receipts, convertible corporate bonds, or other equity instruments and trading of securities in overseas market. Pursuant to such proposed regulations, if China-based companies conduct relevant activities, they shall go through the filing procedures with the CSRC within three working days after submission of listing application, completion of overseas offering, or initial announcement of relevant transactions, as applicable, and report relevant information. In addition, the Draft Rules Regarding Overseas Listing also stipulate certain circumstances where an overseas offering and listing is prohibited, including that (1) there exists any circumstance where going public is strictly prohibited as prescribed by specific laws and regulations of the PRC; (2) the overseas securities offerings and listings constitute a threat or endangerment to national security as reviewed and determined by competent PRC authorities; (3) there exist material ownership disputes on equity, major assets or core technology; (4) any of such domestic enterprises, their controlling shareholder or actual controller is involved in certain criminal offense in recent three years, or is under the investigation for suspicion of criminal offenses or major violations; (5) any of the directors, supervisors and senior management has been subject to severe administrative penalties in recent three years, or is under the investigation for suspicion of criminal offenses or major violations, and other circumstances identified by the State Council. If relevant companies violate the filing obligation or conduct oversea offering and listing under the prohibited circumstances, they are subject to sanctions by the CSRC or other PRC regulatory authorities. For details, see “Regulation — Regulations on M&amp;A and Overseas Listings.” As of the date of this prospectus, as advised by our PRC counsel, CM Law Firm, considering that (1) the Draft Rules Regarding Overseas Listing has not come into effect; and (2) no explicit provision under currently effective PRC laws, regulations and rules clearly requires an offering with contractual arrangements like ours to obtain approvals from the CSRC, we or the affiliated entities are not required to obtain an approval from the CSRC in connection with this offering and listing.</w:t>
      </w:r>
    </w:p>
    <w:p>
      <w:pPr>
        <w:spacing w:after="0" w:line="189" w:lineRule="exact"/>
        <w:rPr>
          <w:sz w:val="20"/>
          <w:szCs w:val="20"/>
          <w:color w:val="auto"/>
        </w:rPr>
      </w:pPr>
    </w:p>
    <w:p>
      <w:pPr>
        <w:ind w:left="380" w:firstLine="420"/>
        <w:spacing w:after="0" w:line="248" w:lineRule="auto"/>
        <w:rPr>
          <w:sz w:val="20"/>
          <w:szCs w:val="20"/>
          <w:color w:val="auto"/>
        </w:rPr>
      </w:pPr>
      <w:r>
        <w:rPr>
          <w:rFonts w:ascii="Times New Roman" w:cs="Times New Roman" w:eastAsia="Times New Roman" w:hAnsi="Times New Roman"/>
          <w:sz w:val="18"/>
          <w:szCs w:val="18"/>
          <w:color w:val="auto"/>
        </w:rPr>
        <w:t>The Draft Rules Regarding Overseas Listing are not clear as to whether companies like us that have already submitted an application for an initial public offering to overseas regulators but have not yet completed the offering prior to their effective date shall be subject to such post-filing procedures. Therefore, if the Draft Rules Regarding Overseas Listing were implemented in its current form prior to the completion of this offering and listing, we might be subject to the aforementioned post-filing requirement with the CSRC for this offering and listing. As of the date of this prospectus, we have not received any formal inquiry, notice, warning, sanction, or any regulatory objection from the CSRC with respect to this offering and listing, and we believe that we are not subject to the prohibited circumstances as proposed in the Draft Rules Regarding Overseas Listing. However, as the Draft Rules Regarding Overseas Listing were released for public comments only and have not come into effect, there remains uncertainty in the effective date and their final rules and interpretation and implementation. We cannot assure you that we or the affiliated entities would be able to complete all the requirements, to the extent that they may be subsequently required by the relevant regulatory authorities, in a timely manner, or at all, or that completion of any other compliance requirements would not be imposed. Any failure to complete or delay in completing such procedures for this listing and offering or future capital raising activities as required under the Draft Rules Regarding Overseas Listing, or a rescission of any such filings completed by us, would subject us to sanctions by the CSRC or other PRC regulatory authorities. Accordingly, the value of your investment may be materially and adversely affected or become worthless. For details, see “Risk Factors — Risks Related to Doing business in China — Recent regulatory development in China may exert more oversight and control over listing and offerings that are conducted overseas. The approval of the CSRC may be required in connection with this offering and our future capital raising activities, and, if required, we cannot assure you that we or the affiliated entities will be able to obtain such approval, in which case we may face regulatory sanctions for failure to obtain such approval for this offering and our future capital raising activities” and “Risk Factors — Risks Related to Doing business in China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320" w:top="452"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77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3560" cy="577088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right="40" w:firstLine="420"/>
        <w:spacing w:after="0" w:line="253" w:lineRule="auto"/>
        <w:rPr>
          <w:sz w:val="20"/>
          <w:szCs w:val="20"/>
          <w:color w:val="auto"/>
        </w:rPr>
      </w:pPr>
      <w:r>
        <w:rPr>
          <w:rFonts w:ascii="Times New Roman" w:cs="Times New Roman" w:eastAsia="Times New Roman" w:hAnsi="Times New Roman"/>
          <w:sz w:val="18"/>
          <w:szCs w:val="18"/>
          <w:color w:val="auto"/>
        </w:rPr>
        <w:t>Except as disclosed above, we or the affiliated entities have not been requested to obtain or denied any license or permission from any government authority in China in connection with the VIE’s operations or this offering as of the date of this prospectus. However, the PRC regulatory authorities, including the CSRC, may adopt new laws, rules and regulations, or detailed implementation and interpretation of the current applicable PRC laws, rules and regulations, and we cannot assure you that the relevant PRC regulatory authorities, including the CSRC, would reach the same conclusion as us or our PRC counsel.</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14" w:lineRule="exact"/>
        <w:rPr>
          <w:sz w:val="20"/>
          <w:szCs w:val="20"/>
          <w:color w:val="auto"/>
        </w:rPr>
      </w:pPr>
    </w:p>
    <w:p>
      <w:pPr>
        <w:ind w:left="380" w:firstLine="420"/>
        <w:spacing w:after="0" w:line="247" w:lineRule="auto"/>
        <w:rPr>
          <w:sz w:val="20"/>
          <w:szCs w:val="20"/>
          <w:color w:val="auto"/>
        </w:rPr>
      </w:pPr>
      <w:r>
        <w:rPr>
          <w:rFonts w:ascii="Times New Roman" w:cs="Times New Roman" w:eastAsia="Times New Roman" w:hAnsi="Times New Roman"/>
          <w:sz w:val="18"/>
          <w:szCs w:val="18"/>
          <w:color w:val="auto"/>
        </w:rPr>
        <w:t>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Our auditor, PricewaterhouseCoopers Zhong Tian LLP, is an independent registered accounting firm based in mainland China.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2023 and beyond, or if we otherwise fail to meet the PCAOB’s requirements, the ADSs will be delisted from the Nasdaq Stock Market, and our shares and ADSs will not be permitted for trading over the counter in the United States under the HFCAA and related regulations. The related risks and uncertainties could cause the value of the ADSs to significantly decline or become worthless. For details, see “Risk Factors — Risks Related to Doing Business in China — The ADSs will be delisted and our shares and ADSs will be prohibited from trading in the over-the-counter market under the Holding Foreign Companies Accountable Act if the PCAOB is unable to inspect or investigate completely auditors located in China for two consecutive years. The delisting of the ADSs, or the threat of their being delisted, may materially and adversely affect the value of your investment.”</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4" w:lineRule="exact"/>
        <w:rPr>
          <w:sz w:val="20"/>
          <w:szCs w:val="20"/>
          <w:color w:val="auto"/>
        </w:rPr>
      </w:pPr>
    </w:p>
    <w:p>
      <w:pPr>
        <w:ind w:left="380" w:right="20" w:firstLine="420"/>
        <w:spacing w:after="0" w:line="251"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w:t>
      </w:r>
    </w:p>
    <w:p>
      <w:pPr>
        <w:spacing w:after="0" w:line="2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0"/>
          </w:cols>
          <w:pgMar w:left="320" w:top="452"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501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3560" cy="55010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left="380" w:right="80"/>
        <w:spacing w:after="0" w:line="305" w:lineRule="auto"/>
        <w:rPr>
          <w:sz w:val="20"/>
          <w:szCs w:val="20"/>
          <w:color w:val="auto"/>
        </w:rPr>
      </w:pPr>
      <w:r>
        <w:rPr>
          <w:rFonts w:ascii="Times New Roman" w:cs="Times New Roman" w:eastAsia="Times New Roman" w:hAnsi="Times New Roman"/>
          <w:sz w:val="17"/>
          <w:szCs w:val="17"/>
          <w:color w:val="auto"/>
        </w:rPr>
        <w:t>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41" w:lineRule="exact"/>
        <w:rPr>
          <w:sz w:val="20"/>
          <w:szCs w:val="20"/>
          <w:color w:val="auto"/>
        </w:rPr>
      </w:pPr>
    </w:p>
    <w:p>
      <w:pPr>
        <w:ind w:left="380" w:right="20" w:firstLine="420"/>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during which we have total annual gross revenues of at least US$1.235 billion; (2) the last day of our fiscal year following the fifth anniversary of the completion of this offering; (3) the date on which we have, during the preceding three-year period, issued more than US$1.0 billion in non-convertible debt; or (4) the date on which we are deemed to be a “large accelerated filer” under the Securities Exchange Act of 1934, as amended (the “Exchange Act”) which would occur if we have been a public company for at least 12 months and the market value of the ADSs that are held by non-affiliates exceeds US$700 million as of the last business day of our most recently completed second fiscal quarter. Once we cease to be an emerging growth company, we will not be entitled to the exemptions provided in the JOBS Act as discussed above.</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14" w:lineRule="exact"/>
        <w:rPr>
          <w:sz w:val="20"/>
          <w:szCs w:val="20"/>
          <w:color w:val="auto"/>
        </w:rPr>
      </w:pPr>
    </w:p>
    <w:p>
      <w:pPr>
        <w:ind w:left="380" w:firstLine="420"/>
        <w:spacing w:after="0" w:line="264" w:lineRule="auto"/>
        <w:rPr>
          <w:sz w:val="20"/>
          <w:szCs w:val="20"/>
          <w:color w:val="auto"/>
        </w:rPr>
      </w:pPr>
      <w:r>
        <w:rPr>
          <w:rFonts w:ascii="Times New Roman" w:cs="Times New Roman" w:eastAsia="Times New Roman" w:hAnsi="Times New Roman"/>
          <w:sz w:val="17"/>
          <w:szCs w:val="17"/>
          <w:color w:val="auto"/>
        </w:rPr>
        <w:t>We will be a “controlled company” as defined under the Nasdaq Stock Market Listing Rules because Mr. Peng Li, our founder, chairman and the chief executive officer, will hold 30.2% of our total issued and outstanding ordinary shares and will be able to exercise 81.2% of the total voting power of our issued and outstanding share capital upon the completion of this offering, assuming that the underwriters do not exercise their option to purchase additional ADSs, or 29.9% of our total issued and outstanding ordinary shares and 81.0% of the total voting power of our issued and outstanding share capital upon the completion of this offering, assuming that the underwriters exercise their option to purchase additional ADSs in full. As a result, Mr. Peng Li will have the ability to control or significantly influence the outcome of matters requiring approval by shareholders. For so long as we remain as a “controlled company,” we are permitted to elect not to comply with certain corporate governance requirements, including an exemption from the rule that a majority of our board of directors must be independent directors. We do not currently plan to utilize the exemptions available for controlled companies after we complete this offering, but instead, we plan to rely on the exemption available for foreign private issuers to follow our home country governance practices. As a result, you will not have the same protection afforded to shareholders of companies that are subject to these corporate governance requirements. For details, see “Risk Factor — Risks Related to the ADSs and this Offering — We will be a “controlled company” within the meaning of the Nasdaq Stock Market listing rules and, as a result, may rely on exemptions from certain corporate governance requirements that provide protection to shareholders of other companies.”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14" w:lineRule="exact"/>
        <w:rPr>
          <w:sz w:val="20"/>
          <w:szCs w:val="20"/>
          <w:color w:val="auto"/>
        </w:rPr>
      </w:pPr>
    </w:p>
    <w:p>
      <w:pPr>
        <w:ind w:left="380" w:right="20" w:firstLine="420"/>
        <w:spacing w:after="0" w:line="249"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 We currently intend to follow Cayman Islands corporate governance practices in lieu of the corporate governance standards of the Nasdaq Stock Market that listed companies must: (1) have a majority of independent directors, (2) have a nominating/corporate governance committee composed entirely of independent directors, (3) have an audit committee composed of at least three members, (4) obtain shareholders’ approval for issuance of securities in certain situations, and (5) hold annual shareholders’ meetings. These practices may afford less protection to shareholders than they would enjoy if we complied fully with the corporate governance standards of the Nasdaq Stock Market.</w:t>
      </w:r>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320" w:top="452"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075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3560" cy="60750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4" w:lineRule="exact"/>
        <w:rPr>
          <w:sz w:val="20"/>
          <w:szCs w:val="20"/>
          <w:color w:val="auto"/>
        </w:rPr>
      </w:pPr>
    </w:p>
    <w:p>
      <w:pPr>
        <w:ind w:left="380" w:firstLine="420"/>
        <w:spacing w:after="0" w:line="253" w:lineRule="auto"/>
        <w:rPr>
          <w:sz w:val="20"/>
          <w:szCs w:val="20"/>
          <w:color w:val="auto"/>
        </w:rPr>
      </w:pPr>
      <w:r>
        <w:rPr>
          <w:rFonts w:ascii="Times New Roman" w:cs="Times New Roman" w:eastAsia="Times New Roman" w:hAnsi="Times New Roman"/>
          <w:sz w:val="18"/>
          <w:szCs w:val="18"/>
          <w:color w:val="auto"/>
        </w:rPr>
        <w:t>Our principal executive offices are located at Room 710, 5/F, Building No. 1, Zone No. 1, Ronghe Road, Chaoyang District, Beijing, People’s Republic of China. Our telephone number at this address is +86-10 6493-8177. Our registered office in the Cayman Islands is located at the Office of Sertus Incorporations (Cayman) Limited, Sertus Chambers, Governors Square, Suite # 5-204, 23 Lime Tree Bay Avenue, P.O. Box 2547, Grand Cayman, KY1-1104, Cayman Islands. Our agent for service of process in the United States is Cogency Global Inc. at 122 East 42nd Street, 18th Floor, New York, NY 10168.</w:t>
      </w:r>
    </w:p>
    <w:p>
      <w:pPr>
        <w:spacing w:after="0" w:line="185" w:lineRule="exact"/>
        <w:rPr>
          <w:sz w:val="20"/>
          <w:szCs w:val="20"/>
          <w:color w:val="auto"/>
        </w:rPr>
      </w:pPr>
    </w:p>
    <w:p>
      <w:pPr>
        <w:ind w:left="380" w:right="40" w:firstLine="420"/>
        <w:spacing w:after="0" w:line="275"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 Our main website is </w:t>
      </w:r>
      <w:r>
        <w:rPr>
          <w:rFonts w:ascii="Times New Roman" w:cs="Times New Roman" w:eastAsia="Times New Roman" w:hAnsi="Times New Roman"/>
          <w:sz w:val="18"/>
          <w:szCs w:val="18"/>
          <w:i w:val="1"/>
          <w:iCs w:val="1"/>
          <w:color w:val="auto"/>
        </w:rPr>
        <w:t>www.liangzizhige.com</w:t>
      </w:r>
      <w:r>
        <w:rPr>
          <w:rFonts w:ascii="Times New Roman" w:cs="Times New Roman" w:eastAsia="Times New Roman" w:hAnsi="Times New Roman"/>
          <w:sz w:val="18"/>
          <w:szCs w:val="18"/>
          <w:color w:val="auto"/>
        </w:rPr>
        <w:t>. The information contained on our website is not a part of this prospectus.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and for purposes of this prospectus only:</w:t>
      </w:r>
    </w:p>
    <w:p>
      <w:pPr>
        <w:spacing w:after="0" w:line="125" w:lineRule="exact"/>
        <w:rPr>
          <w:sz w:val="20"/>
          <w:szCs w:val="20"/>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which, if issued, evidence the ADSs;</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of which represents three Class A ordinary shares;</w:t>
      </w:r>
    </w:p>
    <w:p>
      <w:pPr>
        <w:spacing w:after="0" w:line="125" w:lineRule="exact"/>
        <w:rPr>
          <w:rFonts w:ascii="Times New Roman" w:cs="Times New Roman" w:eastAsia="Times New Roman" w:hAnsi="Times New Roman"/>
          <w:sz w:val="18"/>
          <w:szCs w:val="18"/>
          <w:color w:val="auto"/>
        </w:rPr>
      </w:pPr>
    </w:p>
    <w:p>
      <w:pPr>
        <w:ind w:left="1300" w:right="120" w:hanging="403"/>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entities” refers to Beijing Feierlai, the variable interest entity, and its subsidiaries, and, in the context of describing our consolidated financial information, refers to the respective variable interest entity and its subsidiaries in connection with our business at the relevant time before the completion of the restructuring and spin-off;</w:t>
      </w:r>
    </w:p>
    <w:p>
      <w:pPr>
        <w:spacing w:after="0" w:line="82"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the Cyberspace Administration of China;</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refers to the China Securities Regulatory Commission;</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25" w:lineRule="exact"/>
        <w:rPr>
          <w:rFonts w:ascii="Times New Roman" w:cs="Times New Roman" w:eastAsia="Times New Roman" w:hAnsi="Times New Roman"/>
          <w:sz w:val="18"/>
          <w:szCs w:val="18"/>
          <w:color w:val="auto"/>
        </w:rPr>
      </w:pPr>
    </w:p>
    <w:p>
      <w:pPr>
        <w:ind w:left="1300" w:right="40" w:hanging="403"/>
        <w:spacing w:after="0" w:line="25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and only in the context of describing the industry matters, including those derived from the F&amp;S report, and the PRC laws, rules, regulations, regulatory authorities, and any PRC entities or citizens under such rules, laws and regulations and other legal or tax matters in this prospectus, excludes Taiwan, the Hong Kong Special Administrative Region and the Macau Special Administrative Region;</w:t>
      </w:r>
    </w:p>
    <w:p>
      <w:pPr>
        <w:spacing w:after="0" w:line="87"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ordinary shares” refers to our Class A ordinary shares, par value US$0.0001 per share, upon the completion of this offering;</w:t>
      </w:r>
    </w:p>
    <w:p>
      <w:pPr>
        <w:spacing w:after="0" w:line="136" w:lineRule="exact"/>
        <w:rPr>
          <w:rFonts w:ascii="Times New Roman" w:cs="Times New Roman" w:eastAsia="Times New Roman" w:hAnsi="Times New Roman"/>
          <w:sz w:val="17"/>
          <w:szCs w:val="17"/>
          <w:color w:val="auto"/>
        </w:rPr>
      </w:pPr>
    </w:p>
    <w:p>
      <w:pPr>
        <w:ind w:left="1300" w:hanging="403"/>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ordinary shares” refers to our Class B ordinary shares, par value US$0.0001 per share, upon the completion of this offering;</w:t>
      </w:r>
    </w:p>
    <w:p>
      <w:pPr>
        <w:spacing w:after="0" w:line="136" w:lineRule="exact"/>
        <w:rPr>
          <w:rFonts w:ascii="Times New Roman" w:cs="Times New Roman" w:eastAsia="Times New Roman" w:hAnsi="Times New Roman"/>
          <w:sz w:val="17"/>
          <w:szCs w:val="17"/>
          <w:color w:val="auto"/>
        </w:rPr>
      </w:pPr>
    </w:p>
    <w:p>
      <w:pPr>
        <w:ind w:left="1300" w:right="140" w:hanging="403"/>
        <w:spacing w:after="0" w:line="253"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purchase rate” illustrates our ability to generate gross billings from repeat purchases of our premium courses by our paying learners. To calculate this rate, we identify all paying learners who purchased our premium courses more than once on our platforms, then calculate the quotient from dividing (x) the gross billings attributable to purchases of our premium courses by such learners subsequent to the first-time purchase of our premium courses in a given period by (y) our total gross billings from such first-time purchase in the same period;</w:t>
      </w:r>
    </w:p>
    <w:p>
      <w:pPr>
        <w:spacing w:after="0" w:line="92"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Class B ordinary shares, par value US$0.0001 per share;</w:t>
      </w:r>
    </w:p>
    <w:p>
      <w:pPr>
        <w:spacing w:after="0" w:line="125" w:lineRule="exact"/>
        <w:rPr>
          <w:rFonts w:ascii="Times New Roman" w:cs="Times New Roman" w:eastAsia="Times New Roman" w:hAnsi="Times New Roman"/>
          <w:sz w:val="18"/>
          <w:szCs w:val="18"/>
          <w:color w:val="auto"/>
        </w:rPr>
      </w:pPr>
    </w:p>
    <w:p>
      <w:pPr>
        <w:ind w:left="1300" w:right="200" w:hanging="403"/>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“introductory course learners” refers to learners who enroll in our introductory courses and receive the introductory course-related services of our tutors. We calculate introductory course learners for each category (1) on a cumulated basis and (2) without counting duplicate enrollments by the same cell phone number or social media account;</w:t>
      </w:r>
    </w:p>
    <w:p>
      <w:pPr>
        <w:spacing w:after="0" w:line="2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320" w:top="452"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6260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3560" cy="62604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00" w:hanging="403"/>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Stock Market” refers to Nasdaq Stock Market LLC;</w:t>
      </w:r>
    </w:p>
    <w:p>
      <w:pPr>
        <w:spacing w:after="0" w:line="125" w:lineRule="exact"/>
        <w:rPr>
          <w:rFonts w:ascii="Times New Roman" w:cs="Times New Roman" w:eastAsia="Times New Roman" w:hAnsi="Times New Roman"/>
          <w:sz w:val="18"/>
          <w:szCs w:val="18"/>
          <w:color w:val="auto"/>
        </w:rPr>
      </w:pPr>
    </w:p>
    <w:p>
      <w:pPr>
        <w:ind w:left="1300" w:right="300" w:hanging="403"/>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learners” refers to learners who enroll in our premium courses and receive such course-related services of our tutors. We calculate paying learners for each category without counting duplicate enrollments by the same cell phone number or social media account;</w:t>
      </w:r>
    </w:p>
    <w:p>
      <w:pPr>
        <w:spacing w:after="0" w:line="82" w:lineRule="exact"/>
        <w:rPr>
          <w:rFonts w:ascii="Times New Roman" w:cs="Times New Roman" w:eastAsia="Times New Roman" w:hAnsi="Times New Roman"/>
          <w:sz w:val="18"/>
          <w:szCs w:val="18"/>
          <w:color w:val="auto"/>
        </w:rPr>
      </w:pPr>
    </w:p>
    <w:p>
      <w:pPr>
        <w:ind w:left="1300" w:right="380" w:hanging="403"/>
        <w:spacing w:after="0" w:line="275"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“pre-offering Class A ordinary shares” refers to our Class A ordinary shares, par value US$0.0001 per share, as of the date of this prospectus, holders of each of which are entitled to one vote;</w:t>
      </w:r>
    </w:p>
    <w:p>
      <w:pPr>
        <w:spacing w:after="0" w:line="70" w:lineRule="exact"/>
        <w:rPr>
          <w:rFonts w:ascii="Times New Roman" w:cs="Times New Roman" w:eastAsia="Times New Roman" w:hAnsi="Times New Roman"/>
          <w:sz w:val="18"/>
          <w:szCs w:val="18"/>
          <w:color w:val="auto"/>
        </w:rPr>
      </w:pPr>
    </w:p>
    <w:p>
      <w:pPr>
        <w:ind w:left="1300" w:right="180" w:hanging="403"/>
        <w:spacing w:after="0" w:line="275"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“pre-offering Class B ordinary shares” refers to our Class B ordinary shares, par value of US$0.0001 per share, as of the date of this prospectus, holders of each of which are entitled to ten votes;</w:t>
      </w:r>
    </w:p>
    <w:p>
      <w:pPr>
        <w:spacing w:after="0" w:line="70" w:lineRule="exact"/>
        <w:rPr>
          <w:rFonts w:ascii="Times New Roman" w:cs="Times New Roman" w:eastAsia="Times New Roman" w:hAnsi="Times New Roman"/>
          <w:sz w:val="18"/>
          <w:szCs w:val="18"/>
          <w:color w:val="auto"/>
        </w:rPr>
      </w:pPr>
    </w:p>
    <w:p>
      <w:pPr>
        <w:ind w:left="1300" w:right="300" w:hanging="403"/>
        <w:spacing w:after="0" w:line="275"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users” refers to users who register on our platforms. We calculate registered users for each category (1) on a cumulated basis and (2) without counting duplicate cellphone numbers or social media accounts;</w:t>
      </w:r>
    </w:p>
    <w:p>
      <w:pPr>
        <w:spacing w:after="0" w:line="70"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refers to the legal currency of China;</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refers to our share capital, par value of US$0.0001 per share;</w:t>
      </w:r>
    </w:p>
    <w:p>
      <w:pPr>
        <w:spacing w:after="0" w:line="125" w:lineRule="exact"/>
        <w:rPr>
          <w:rFonts w:ascii="Times New Roman" w:cs="Times New Roman" w:eastAsia="Times New Roman" w:hAnsi="Times New Roman"/>
          <w:sz w:val="18"/>
          <w:szCs w:val="18"/>
          <w:color w:val="auto"/>
        </w:rPr>
      </w:pPr>
    </w:p>
    <w:p>
      <w:pPr>
        <w:ind w:left="1300" w:hanging="403"/>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refers to the legal currency of the United States;</w:t>
      </w:r>
    </w:p>
    <w:p>
      <w:pPr>
        <w:spacing w:after="0" w:line="125" w:lineRule="exact"/>
        <w:rPr>
          <w:rFonts w:ascii="Times New Roman" w:cs="Times New Roman" w:eastAsia="Times New Roman" w:hAnsi="Times New Roman"/>
          <w:sz w:val="18"/>
          <w:szCs w:val="18"/>
          <w:color w:val="auto"/>
        </w:rPr>
      </w:pPr>
    </w:p>
    <w:p>
      <w:pPr>
        <w:ind w:left="1300" w:hanging="403"/>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or “Beijing Feierlai” refers to Feierlai (Beijing) Technology Co., Ltd., the variable interest entity, and, “VIE,” in the context of describing our consolidated financial information, refers to the respective variable interest entity in connection with our business at the relevant time before the completion of the restructuring and spin-off;</w:t>
      </w:r>
    </w:p>
    <w:p>
      <w:pPr>
        <w:spacing w:after="0" w:line="82" w:lineRule="exact"/>
        <w:rPr>
          <w:rFonts w:ascii="Times New Roman" w:cs="Times New Roman" w:eastAsia="Times New Roman" w:hAnsi="Times New Roman"/>
          <w:sz w:val="18"/>
          <w:szCs w:val="18"/>
          <w:color w:val="auto"/>
        </w:rPr>
      </w:pPr>
    </w:p>
    <w:p>
      <w:pPr>
        <w:ind w:left="1300" w:right="40" w:hanging="403"/>
        <w:spacing w:after="0" w:line="25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“QuantaSing,” or “QuantaSing Group” refers to QuantaSing Group Limited, together as a group with its subsidiaries, and, in the context of describing the substantive operations and financial information relating to such operations of QuantaSing Group Limited and its subsidiaries and the affiliated entities as a whole, refers to QuantaSing Group Limited and its subsidiaries and the affiliated entities. Where the context requires, in respect of the period prior to our company becoming the holding company of its present subsidiaries, these terms also refer to such subsidiaries as if they were subsidiaries of our company at the relevant time; and</w:t>
      </w:r>
    </w:p>
    <w:p>
      <w:pPr>
        <w:spacing w:after="0" w:line="92" w:lineRule="exact"/>
        <w:rPr>
          <w:rFonts w:ascii="Times New Roman" w:cs="Times New Roman" w:eastAsia="Times New Roman" w:hAnsi="Times New Roman"/>
          <w:sz w:val="18"/>
          <w:szCs w:val="18"/>
          <w:color w:val="auto"/>
        </w:rPr>
      </w:pPr>
    </w:p>
    <w:p>
      <w:pPr>
        <w:jc w:val="both"/>
        <w:ind w:left="1300" w:right="40" w:hanging="403"/>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or “Beijing Liangzizhige” refers to Beijing Liangzizhige Co., Ltd., our wholly-owned PRC subsidiary, and, “WFOE,” in the context of describing our consolidated financial information, refers to our respective wholly-owned subsidiary in connection with our business at the relevant time before the completion of the restructuring and spin-off.</w:t>
      </w:r>
    </w:p>
    <w:p>
      <w:pPr>
        <w:spacing w:after="0" w:line="176" w:lineRule="exact"/>
        <w:rPr>
          <w:sz w:val="20"/>
          <w:szCs w:val="20"/>
          <w:color w:val="auto"/>
        </w:rPr>
      </w:pPr>
    </w:p>
    <w:p>
      <w:pPr>
        <w:ind w:left="380" w:right="780" w:firstLine="420"/>
        <w:spacing w:after="0" w:line="275" w:lineRule="auto"/>
        <w:rPr>
          <w:sz w:val="20"/>
          <w:szCs w:val="20"/>
          <w:color w:val="auto"/>
        </w:rPr>
      </w:pPr>
      <w:r>
        <w:rPr>
          <w:rFonts w:ascii="Times New Roman" w:cs="Times New Roman" w:eastAsia="Times New Roman" w:hAnsi="Times New Roman"/>
          <w:sz w:val="18"/>
          <w:szCs w:val="18"/>
          <w:color w:val="auto"/>
        </w:rPr>
        <w:t>Unless specifically indicated otherwise or unless the context otherwise requires, all information in this prospectus assumes that the underwriters will not exercise their option to purchase additional ADSs.</w:t>
      </w:r>
    </w:p>
    <w:p>
      <w:pPr>
        <w:spacing w:after="0" w:line="164" w:lineRule="exact"/>
        <w:rPr>
          <w:sz w:val="20"/>
          <w:szCs w:val="20"/>
          <w:color w:val="auto"/>
        </w:rPr>
      </w:pPr>
    </w:p>
    <w:p>
      <w:pPr>
        <w:ind w:left="380" w:right="380" w:firstLine="420"/>
        <w:spacing w:after="0" w:line="275" w:lineRule="auto"/>
        <w:rPr>
          <w:sz w:val="20"/>
          <w:szCs w:val="20"/>
          <w:color w:val="auto"/>
        </w:rPr>
      </w:pPr>
      <w:r>
        <w:rPr>
          <w:rFonts w:ascii="Times New Roman" w:cs="Times New Roman" w:eastAsia="Times New Roman" w:hAnsi="Times New Roman"/>
          <w:sz w:val="18"/>
          <w:szCs w:val="18"/>
          <w:color w:val="auto"/>
        </w:rPr>
        <w:t>We have made rounding adjustments to reach some of the figures included in this prospectus. Consequently, numerical figures shown as totals in some tables may not be arithmetic aggregations of the figures that precede them.</w:t>
      </w:r>
    </w:p>
    <w:p>
      <w:pPr>
        <w:spacing w:after="0" w:line="164" w:lineRule="exact"/>
        <w:rPr>
          <w:sz w:val="20"/>
          <w:szCs w:val="20"/>
          <w:color w:val="auto"/>
        </w:rPr>
      </w:pPr>
    </w:p>
    <w:p>
      <w:pPr>
        <w:ind w:left="380" w:firstLine="420"/>
        <w:spacing w:after="0" w:line="251" w:lineRule="auto"/>
        <w:rPr>
          <w:sz w:val="20"/>
          <w:szCs w:val="20"/>
          <w:color w:val="auto"/>
        </w:rPr>
      </w:pPr>
      <w:r>
        <w:rPr>
          <w:rFonts w:ascii="Times New Roman" w:cs="Times New Roman" w:eastAsia="Times New Roman" w:hAnsi="Times New Roman"/>
          <w:sz w:val="18"/>
          <w:szCs w:val="18"/>
          <w:color w:val="auto"/>
        </w:rPr>
        <w:t>Our reporting currency is Renminbi. This prospectus contains translations from Renminbi to U.S. dollars solely for the convenience of the reader. Unless otherwise noted, all translations from Renminbi to U.S. dollars and vice versa in this prospectus are made as RMB7.1135 to US$1.0000, the exchange rate in effect as of September 30, 2022, as set forth in the H.10 statistical release of The Board of Governors of the Federal Reserve System. All translations from Renminbi to U.S. dollars and vice versa for the industry data extracted from the F&amp;S report are made as RMB6.4566 to US$1.0000, the exchange rate in effect as of June 30, 2021, as set forth in the same source. We make no representation that any Renminbi or U.S. dollar amounts could have been, or could be, converted into U.S. dollars or Renminbi, as the case may be, at any particular rate, or at all.</w:t>
      </w:r>
    </w:p>
    <w:p>
      <w:pPr>
        <w:spacing w:after="0" w:line="2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40"/>
          </w:cols>
          <w:pgMar w:left="320" w:top="452" w:right="7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5" w:lineRule="exact"/>
        <w:rPr>
          <w:sz w:val="20"/>
          <w:szCs w:val="20"/>
          <w:color w:val="auto"/>
        </w:rPr>
      </w:pPr>
    </w:p>
    <w:tbl>
      <w:tblPr>
        <w:tblLayout w:type="fixed"/>
        <w:tblInd w:w="210" w:type="dxa"/>
        <w:tblCellMar>
          <w:top w:w="0" w:type="dxa"/>
          <w:left w:w="0" w:type="dxa"/>
          <w:bottom w:w="0" w:type="dxa"/>
          <w:right w:w="0" w:type="dxa"/>
        </w:tblCellMar>
      </w:tblPr>
      <w:tr>
        <w:trPr>
          <w:trHeight w:val="403"/>
        </w:trPr>
        <w:tc>
          <w:tcPr>
            <w:tcW w:w="392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2"/>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price per ADS</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US$12.50 per ADS.</w:t>
            </w:r>
          </w:p>
        </w:tc>
      </w:tr>
      <w:tr>
        <w:trPr>
          <w:trHeight w:val="446"/>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 offered by us</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3,250,000 ADSs (or 3,737,500 ADSs if the underwriters exercise their option to purchase</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additional ADSs in full).</w:t>
            </w:r>
          </w:p>
        </w:tc>
      </w:tr>
      <w:tr>
        <w:trPr>
          <w:trHeight w:val="433"/>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 outstanding immediately after this offering</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3,250,000 ADSs (or 3,737,500 ADSs if the underwriters exercise their option to purchase</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additional ADSs in full).</w:t>
            </w:r>
          </w:p>
        </w:tc>
      </w:tr>
      <w:tr>
        <w:trPr>
          <w:trHeight w:val="433"/>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shares outstanding immediately after</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165,236,269 ordinary shares, comprising 115,377,220 Class A ordinary shares and</w:t>
            </w:r>
          </w:p>
        </w:tc>
      </w:tr>
      <w:tr>
        <w:trPr>
          <w:trHeight w:val="213"/>
        </w:trPr>
        <w:tc>
          <w:tcPr>
            <w:tcW w:w="39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this offering</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49,859,049 Class B ordinary shares (or 166,698,769 ordinary shares if the underwriters</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exercise their option to purchase additional ADSs in full, comprising 116,839,720 Class A</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ordinary shares and 49,859,049 Class B ordinary shares).</w:t>
            </w:r>
          </w:p>
        </w:tc>
      </w:tr>
      <w:tr>
        <w:trPr>
          <w:trHeight w:val="452"/>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Each ADS represents three Class A ordinary shares, par value US$0.0001 per share.</w:t>
            </w:r>
          </w:p>
        </w:tc>
      </w:tr>
      <w:tr>
        <w:trPr>
          <w:trHeight w:val="446"/>
        </w:trPr>
        <w:tc>
          <w:tcPr>
            <w:tcW w:w="39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depositary will hold the underlying Class A ordinary shares represented by your ADSs.</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You will have rights as provided in the deposit agreement among us, the depositary and</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holders and beneficial owners of ADSs from time to time.</w:t>
            </w:r>
          </w:p>
        </w:tc>
      </w:tr>
      <w:tr>
        <w:trPr>
          <w:trHeight w:val="433"/>
        </w:trPr>
        <w:tc>
          <w:tcPr>
            <w:tcW w:w="39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We do not expect to pay dividends in the foreseeable future. If, however, we declare</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dividends on our ordinary shares, the depositary will pay you the cash dividends and other</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distributions it receives on our Class A ordinary shares after deducting its fees and</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expenses in accordance with the terms set forth in the deposit agreement.</w:t>
            </w:r>
          </w:p>
        </w:tc>
      </w:tr>
      <w:tr>
        <w:trPr>
          <w:trHeight w:val="433"/>
        </w:trPr>
        <w:tc>
          <w:tcPr>
            <w:tcW w:w="39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You may surrender your ADSs to the depositary in exchange for the underlying Class A</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ordinary shares, subject to the terms of the deposit agreement relating to the ADSs. The</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depositary will charge you fees for any exchange.</w:t>
            </w:r>
          </w:p>
        </w:tc>
      </w:tr>
      <w:tr>
        <w:trPr>
          <w:trHeight w:val="433"/>
        </w:trPr>
        <w:tc>
          <w:tcPr>
            <w:tcW w:w="39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hold your ADSs after an amendment to the deposit agreement, you agree to be bound by</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deposit agreement as amended.</w:t>
            </w:r>
          </w:p>
        </w:tc>
      </w:tr>
      <w:tr>
        <w:trPr>
          <w:trHeight w:val="433"/>
        </w:trPr>
        <w:tc>
          <w:tcPr>
            <w:tcW w:w="39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You should carefully read “Description of American Depositary Shares” section in this</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prospectus to better understand the terms of the ADSs. You should also read the deposit</w:t>
            </w:r>
          </w:p>
        </w:tc>
      </w:tr>
      <w:tr>
        <w:trPr>
          <w:trHeight w:val="213"/>
        </w:trPr>
        <w:tc>
          <w:tcPr>
            <w:tcW w:w="392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agreement, which is filed as an exhibit to the registration statement that includes this</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prospectus.</w:t>
            </w:r>
          </w:p>
        </w:tc>
      </w:tr>
      <w:tr>
        <w:trPr>
          <w:trHeight w:val="433"/>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Following the completion of this offering, our issued and outstanding share capital will</w:t>
            </w:r>
          </w:p>
        </w:tc>
      </w:tr>
      <w:tr>
        <w:trPr>
          <w:trHeight w:val="232"/>
        </w:trPr>
        <w:tc>
          <w:tcPr>
            <w:tcW w:w="392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consist of Class A ordinary shares and Class B</w:t>
            </w:r>
          </w:p>
        </w:tc>
      </w:tr>
      <w:tr>
        <w:trPr>
          <w:trHeight w:val="155"/>
        </w:trPr>
        <w:tc>
          <w:tcPr>
            <w:tcW w:w="3920" w:type="dxa"/>
            <w:vAlign w:val="bottom"/>
            <w:tcBorders>
              <w:left w:val="single" w:sz="8" w:color="auto"/>
              <w:bottom w:val="single" w:sz="8" w:color="auto"/>
            </w:tcBorders>
          </w:tcPr>
          <w:p>
            <w:pPr>
              <w:spacing w:after="0"/>
              <w:rPr>
                <w:sz w:val="13"/>
                <w:szCs w:val="13"/>
                <w:color w:val="auto"/>
              </w:rPr>
            </w:pPr>
          </w:p>
        </w:tc>
        <w:tc>
          <w:tcPr>
            <w:tcW w:w="6940" w:type="dxa"/>
            <w:vAlign w:val="bottom"/>
            <w:tcBorders>
              <w:bottom w:val="single" w:sz="8" w:color="auto"/>
              <w:right w:val="single" w:sz="8" w:color="auto"/>
            </w:tcBorders>
          </w:tcPr>
          <w:p>
            <w:pPr>
              <w:spacing w:after="0"/>
              <w:rPr>
                <w:sz w:val="13"/>
                <w:szCs w:val="13"/>
                <w:color w:val="auto"/>
              </w:rPr>
            </w:pPr>
          </w:p>
        </w:tc>
      </w:tr>
      <w:tr>
        <w:trPr>
          <w:trHeight w:val="356"/>
        </w:trPr>
        <w:tc>
          <w:tcPr>
            <w:tcW w:w="3920" w:type="dxa"/>
            <w:vAlign w:val="bottom"/>
          </w:tcPr>
          <w:p>
            <w:pPr>
              <w:spacing w:after="0"/>
              <w:rPr>
                <w:sz w:val="24"/>
                <w:szCs w:val="24"/>
                <w:color w:val="auto"/>
              </w:rPr>
            </w:pPr>
          </w:p>
        </w:tc>
        <w:tc>
          <w:tcPr>
            <w:tcW w:w="69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060"/>
          </w:cols>
          <w:pgMar w:left="320" w:top="452"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5" w:lineRule="exact"/>
        <w:rPr>
          <w:sz w:val="20"/>
          <w:szCs w:val="20"/>
          <w:color w:val="auto"/>
        </w:rPr>
      </w:pPr>
    </w:p>
    <w:tbl>
      <w:tblPr>
        <w:tblLayout w:type="fixed"/>
        <w:tblInd w:w="210" w:type="dxa"/>
        <w:tblCellMar>
          <w:top w:w="0" w:type="dxa"/>
          <w:left w:w="0" w:type="dxa"/>
          <w:bottom w:w="0" w:type="dxa"/>
          <w:right w:w="0" w:type="dxa"/>
        </w:tblCellMar>
      </w:tblPr>
      <w:tr>
        <w:trPr>
          <w:trHeight w:val="384"/>
        </w:trPr>
        <w:tc>
          <w:tcPr>
            <w:tcW w:w="346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ordinary shares. In respect of all matters subject to a shareholder vote, each Class A</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ordinary share is entitled to one vote, and each Class B ordinary share is entitled to ten</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votes, voting together as one class, on all matter subject to vote at general meetings of our</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company.</w:t>
            </w:r>
          </w:p>
        </w:tc>
      </w:tr>
      <w:tr>
        <w:trPr>
          <w:trHeight w:val="446"/>
        </w:trPr>
        <w:tc>
          <w:tcPr>
            <w:tcW w:w="346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Each Class B ordinary share is convertible into Class A ordinary share at any time by the</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holder thereof. Class A ordinary shares are not convertible into Class B ordinary shares</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under any circumstances. Upon any sale, transfer, assignment or disposition of Class B</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ordinary shares by a holder thereof to any person that is not Mr. Peng Li or his controlled</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entity, or upon a change of ultimate beneficial ownership of any Class B ordinary share to</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any person that is not Mr. Peng Li or a controlled entity of Mr. Peng Li, such Class B</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ordinary shares shall be automatically and immediately converted into the same number of</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Class A ordinary shares. In addition, all outstanding Class B ordinary shares will</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automatically convert into Class A ordinary shares upon the first to occur of (1) the death</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 incapacity of Mr. Peng Li; (2) the date that Mr. Peng Li is no longer employed as our</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chief executive officer for cause; (3) if Mr. Peng Li was not employed as our chief</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executive officer for at least five years following this offering, the date when he is no</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longer our chief executive officer; and (4) if Mr. Peng Li was employed as our chief</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executive officer for at least five years following this offering, the earlier of: (a) the date he</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ceases to be our chief executive officer and our director; and (b) if he continues to our</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director, the second anniversary after he ceases to be employed as our chief executive</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officer. For details, see “Description of Share Capital— Our Post-Offering Memorandum</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and Articles of Association.”</w:t>
            </w:r>
          </w:p>
        </w:tc>
      </w:tr>
      <w:tr>
        <w:trPr>
          <w:trHeight w:val="433"/>
        </w:trPr>
        <w:tc>
          <w:tcPr>
            <w:tcW w:w="346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For a description of Class A ordinary shares and Class B ordinary shares, see “Description</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of Share Capital.”</w:t>
            </w:r>
          </w:p>
        </w:tc>
      </w:tr>
      <w:tr>
        <w:trPr>
          <w:trHeight w:val="433"/>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We have granted the underwriters an option, exercisable within 30 days from the date of</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this prospectus, to purchase up to an aggregate of 487,500 additional ADSs at the initial</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public offering price, less the underwriting discounts and commissions.</w:t>
            </w:r>
          </w:p>
        </w:tc>
      </w:tr>
      <w:tr>
        <w:trPr>
          <w:trHeight w:val="433"/>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We expect that we will receive from this offering net proceeds of approximately US$35.1</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million or approximately US$40.7 million if the underwriters exercise their option to</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purchase additional ADSs in full, after deducting underwriting discounts and commissions</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tc>
      </w:tr>
      <w:tr>
        <w:trPr>
          <w:trHeight w:val="433"/>
        </w:trPr>
        <w:tc>
          <w:tcPr>
            <w:tcW w:w="346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among others, improving the</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learning experience of our learners and our content development capability, broadening our</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course offerings, advancing our technology infrastructures, enhancing our marketing and</w:t>
            </w:r>
          </w:p>
        </w:tc>
      </w:tr>
      <w:tr>
        <w:trPr>
          <w:trHeight w:val="213"/>
        </w:trPr>
        <w:tc>
          <w:tcPr>
            <w:tcW w:w="34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brand promotions, and general corporate purposes and working capital. See “Use of</w:t>
            </w:r>
          </w:p>
        </w:tc>
      </w:tr>
      <w:tr>
        <w:trPr>
          <w:trHeight w:val="232"/>
        </w:trPr>
        <w:tc>
          <w:tcPr>
            <w:tcW w:w="34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Proceeds” for more information.</w:t>
            </w:r>
          </w:p>
        </w:tc>
      </w:tr>
      <w:tr>
        <w:trPr>
          <w:trHeight w:val="155"/>
        </w:trPr>
        <w:tc>
          <w:tcPr>
            <w:tcW w:w="3460" w:type="dxa"/>
            <w:vAlign w:val="bottom"/>
            <w:tcBorders>
              <w:left w:val="single" w:sz="8" w:color="auto"/>
              <w:bottom w:val="single" w:sz="8" w:color="auto"/>
            </w:tcBorders>
          </w:tcPr>
          <w:p>
            <w:pPr>
              <w:spacing w:after="0"/>
              <w:rPr>
                <w:sz w:val="13"/>
                <w:szCs w:val="13"/>
                <w:color w:val="auto"/>
              </w:rPr>
            </w:pPr>
          </w:p>
        </w:tc>
        <w:tc>
          <w:tcPr>
            <w:tcW w:w="7400" w:type="dxa"/>
            <w:vAlign w:val="bottom"/>
            <w:tcBorders>
              <w:bottom w:val="single" w:sz="8" w:color="auto"/>
              <w:right w:val="single" w:sz="8" w:color="auto"/>
            </w:tcBorders>
          </w:tcPr>
          <w:p>
            <w:pPr>
              <w:spacing w:after="0"/>
              <w:rPr>
                <w:sz w:val="13"/>
                <w:szCs w:val="13"/>
                <w:color w:val="auto"/>
              </w:rPr>
            </w:pPr>
          </w:p>
        </w:tc>
      </w:tr>
      <w:tr>
        <w:trPr>
          <w:trHeight w:val="356"/>
        </w:trPr>
        <w:tc>
          <w:tcPr>
            <w:tcW w:w="3460" w:type="dxa"/>
            <w:vAlign w:val="bottom"/>
          </w:tcPr>
          <w:p>
            <w:pPr>
              <w:spacing w:after="0"/>
              <w:rPr>
                <w:sz w:val="24"/>
                <w:szCs w:val="24"/>
                <w:color w:val="auto"/>
              </w:rPr>
            </w:pPr>
          </w:p>
        </w:tc>
        <w:tc>
          <w:tcPr>
            <w:tcW w:w="74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060"/>
          </w:cols>
          <w:pgMar w:left="320" w:top="452"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207010</wp:posOffset>
            </wp:positionV>
            <wp:extent cx="6893560" cy="5669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3560" cy="5669280"/>
                    </a:xfrm>
                    <a:prstGeom prst="rect">
                      <a:avLst/>
                    </a:prstGeom>
                    <a:noFill/>
                  </pic:spPr>
                </pic:pic>
              </a:graphicData>
            </a:graphic>
          </wp:anchor>
        </w:drawing>
      </w:r>
    </w:p>
    <w:p>
      <w:pPr>
        <w:sectPr>
          <w:pgSz w:w="11900" w:h="16838" w:orient="portrait"/>
          <w:cols w:equalWidth="0" w:num="1">
            <w:col w:w="10840"/>
          </w:cols>
          <w:pgMar w:left="320" w:top="452" w:right="7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We, our directors, executive officers and existing shareholders have agreed with the underwriters, subject to certain exceptions, not to sell, transfer or otherwise dispose of any ADSs, ordinary shares or similar securities for a period of 180 days after the date of this prospectus, without the prior written consent of the representatives on behalf of the underwriters. In addition, we have agreed to instruct Citibank, N.A.,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 See “Shares Eligible for Future Sale” and “Underwriting” for more information.</w:t>
      </w:r>
    </w:p>
    <w:p>
      <w:pPr>
        <w:spacing w:after="0" w:line="200" w:lineRule="exact"/>
        <w:rPr>
          <w:sz w:val="20"/>
          <w:szCs w:val="20"/>
          <w:color w:val="auto"/>
        </w:rPr>
      </w:pPr>
    </w:p>
    <w:p>
      <w:pPr>
        <w:sectPr>
          <w:pgSz w:w="11900" w:h="16838" w:orient="portrait"/>
          <w:cols w:equalWidth="0" w:num="2">
            <w:col w:w="3640" w:space="720"/>
            <w:col w:w="6480"/>
          </w:cols>
          <w:pgMar w:left="320" w:top="452" w:right="739" w:bottom="1440" w:gutter="0" w:footer="0" w:header="0"/>
          <w:type w:val="continuous"/>
        </w:sectPr>
      </w:pP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Indications of interest</w:t>
      </w:r>
    </w:p>
    <w:p>
      <w:pPr>
        <w:spacing w:after="0" w:line="20" w:lineRule="exact"/>
        <w:rPr>
          <w:sz w:val="20"/>
          <w:szCs w:val="20"/>
          <w:color w:val="auto"/>
        </w:rPr>
      </w:pPr>
      <w:r>
        <w:rPr>
          <w:sz w:val="20"/>
          <w:szCs w:val="20"/>
          <w:color w:val="auto"/>
        </w:rPr>
        <w:br w:type="column"/>
      </w:r>
    </w:p>
    <w:p>
      <w:pPr>
        <w:ind w:right="140"/>
        <w:spacing w:after="0" w:line="250" w:lineRule="auto"/>
        <w:rPr>
          <w:sz w:val="20"/>
          <w:szCs w:val="20"/>
          <w:color w:val="auto"/>
        </w:rPr>
      </w:pPr>
      <w:r>
        <w:rPr>
          <w:rFonts w:ascii="Times New Roman" w:cs="Times New Roman" w:eastAsia="Times New Roman" w:hAnsi="Times New Roman"/>
          <w:sz w:val="18"/>
          <w:szCs w:val="18"/>
          <w:color w:val="auto"/>
        </w:rPr>
        <w:t>(1) Certain entities affiliated with DCM, one of our principal shareholders and an affiliate of one of our directors, and (2) Harvest International Premium Value (Secondary Market) Fund SPC for the account of Harvest Great Bay Investment SP, an investment fund managed by Harvest Global Capital Investments Limited, have subscribed for, and have been allocated by, the underwriters, an aggregate of 400,000 and 800,000 ADSs at the initial public offering price and on the same terms as the other ADSs being offered, respectively. The underwriters will receive the same underwriting discounts and commissions on any ADSs purchased by these investors as they will on any other ADSs sold to the public in this offering.</w:t>
      </w:r>
    </w:p>
    <w:p>
      <w:pPr>
        <w:spacing w:after="0" w:line="200" w:lineRule="exact"/>
        <w:rPr>
          <w:sz w:val="20"/>
          <w:szCs w:val="20"/>
          <w:color w:val="auto"/>
        </w:rPr>
      </w:pPr>
    </w:p>
    <w:p>
      <w:pPr>
        <w:sectPr>
          <w:pgSz w:w="11900" w:h="16838" w:orient="portrait"/>
          <w:cols w:equalWidth="0" w:num="2">
            <w:col w:w="3640" w:space="720"/>
            <w:col w:w="6480"/>
          </w:cols>
          <w:pgMar w:left="320" w:top="452" w:right="739" w:bottom="1440" w:gutter="0" w:footer="0" w:header="0"/>
          <w:type w:val="continuous"/>
        </w:sectPr>
      </w:pP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have been approved to list the ADSs on the Nasdaq Global Market under the symbol “QSG.” The ADSs and our ordinary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40" w:space="720"/>
            <w:col w:w="6480"/>
          </w:cols>
          <w:pgMar w:left="320" w:top="452" w:right="739" w:bottom="1440" w:gutter="0" w:footer="0" w:header="0"/>
          <w:type w:val="continuous"/>
        </w:sectPr>
      </w:pP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through the facilities of The Depository Trust Company on January 27, 2023.</w:t>
      </w:r>
    </w:p>
    <w:p>
      <w:pPr>
        <w:spacing w:after="0" w:line="190" w:lineRule="exact"/>
        <w:rPr>
          <w:sz w:val="20"/>
          <w:szCs w:val="20"/>
          <w:color w:val="auto"/>
        </w:rPr>
      </w:pPr>
    </w:p>
    <w:p>
      <w:pPr>
        <w:sectPr>
          <w:pgSz w:w="11900" w:h="16838" w:orient="portrait"/>
          <w:cols w:equalWidth="0" w:num="2">
            <w:col w:w="3640" w:space="720"/>
            <w:col w:w="6480"/>
          </w:cols>
          <w:pgMar w:left="320" w:top="452" w:right="7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200" w:lineRule="exact"/>
        <w:rPr>
          <w:sz w:val="20"/>
          <w:szCs w:val="20"/>
          <w:color w:val="auto"/>
        </w:rPr>
      </w:pPr>
    </w:p>
    <w:p>
      <w:pPr>
        <w:sectPr>
          <w:pgSz w:w="11900" w:h="16838" w:orient="portrait"/>
          <w:cols w:equalWidth="0" w:num="2">
            <w:col w:w="3640" w:space="720"/>
            <w:col w:w="6480"/>
          </w:cols>
          <w:pgMar w:left="320" w:top="452" w:right="7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25" w:lineRule="exact"/>
        <w:rPr>
          <w:sz w:val="20"/>
          <w:szCs w:val="20"/>
          <w:color w:val="auto"/>
        </w:rPr>
      </w:pPr>
    </w:p>
    <w:p>
      <w:pPr>
        <w:ind w:left="1300" w:right="400" w:hanging="403"/>
        <w:spacing w:after="0" w:line="283"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based on 155,486,269 issued and outstanding ordinary shares (including 105,627,220 Class A ordinary shares and 49,859,049 Class B ordinary shares) as of the date of this prospectus, assuming the automatic conversion of all of our issued and outstanding preferred shares into Class A ordinary shares on a one-for-one basis immediately prior to the completion of this offering;</w:t>
      </w:r>
    </w:p>
    <w:p>
      <w:pPr>
        <w:spacing w:after="0" w:line="66" w:lineRule="exact"/>
        <w:rPr>
          <w:rFonts w:ascii="Times New Roman" w:cs="Times New Roman" w:eastAsia="Times New Roman" w:hAnsi="Times New Roman"/>
          <w:sz w:val="17"/>
          <w:szCs w:val="17"/>
          <w:color w:val="auto"/>
        </w:rPr>
      </w:pPr>
    </w:p>
    <w:p>
      <w:pPr>
        <w:ind w:left="1300" w:right="60" w:hanging="403"/>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9,750,000 Class A ordinary shares in the form of ADSs that we will issue and sell in this offering, assuming the underwriters do not exercise their option to purchase additional ADSs; and</w:t>
      </w:r>
    </w:p>
    <w:p>
      <w:pPr>
        <w:spacing w:after="0" w:line="70" w:lineRule="exact"/>
        <w:rPr>
          <w:rFonts w:ascii="Times New Roman" w:cs="Times New Roman" w:eastAsia="Times New Roman" w:hAnsi="Times New Roman"/>
          <w:sz w:val="18"/>
          <w:szCs w:val="18"/>
          <w:color w:val="auto"/>
        </w:rPr>
      </w:pPr>
    </w:p>
    <w:p>
      <w:pPr>
        <w:ind w:left="1300" w:right="440" w:hanging="403"/>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18,640,751 Class A ordinary shares issuable upon exercise of our outstanding options and 38,240,745 Class A ordinary shares reserved for future issuances under our existing share incentive schemes.</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40"/>
          </w:cols>
          <w:pgMar w:left="320" w:top="452" w:right="7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146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3560" cy="514604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OPERATING DATA</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14" w:lineRule="exact"/>
        <w:rPr>
          <w:sz w:val="20"/>
          <w:szCs w:val="20"/>
          <w:color w:val="auto"/>
        </w:rPr>
      </w:pPr>
    </w:p>
    <w:p>
      <w:pPr>
        <w:ind w:left="380" w:right="200" w:firstLine="420"/>
        <w:spacing w:after="0" w:line="249"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and comprehensive loss data for the fiscal years ended June 30, 2021 and 2022 (except the pro forma net loss, share and net loss per share information), summary consolidated balance sheets data as of June 30, 2021 and 2022 and summary consolidated statements of cash flows data for the fiscal years ended June 30, 2021 and 2022 have been derived from our audited consolidated financial statements included elsewhere in this prospectus. The following summary consolidated statements of operations and comprehensive loss data for the three months ended September 30, 2021 and 2022 (except the pro forma net loss, share and net loss per share information), summary consolidated balance sheet data as of September 30, 2022 and summary consolidated statements of cash flows data for the three months ended September 30, 2021 and 2022 have been derived from our unaudited interim condensed consolidated financial statements included elsewhere in this prospectus. Our consolidated financial statements are prepared and presented in accordance with accounting principles generally accepted in the United States (the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section included elsewhere in this prospectus.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and comprehensive loss data for the periods indicated.</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40"/>
        </w:trPr>
        <w:tc>
          <w:tcPr>
            <w:tcW w:w="1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0"/>
        </w:trPr>
        <w:tc>
          <w:tcPr>
            <w:tcW w:w="1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Borders>
              <w:bottom w:val="single" w:sz="8" w:color="auto"/>
            </w:tcBorders>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1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gridSpan w:val="2"/>
          </w:tcPr>
          <w:p>
            <w:pPr>
              <w:spacing w:after="0"/>
              <w:rPr>
                <w:sz w:val="12"/>
                <w:szCs w:val="12"/>
                <w:color w:val="auto"/>
              </w:rPr>
            </w:pPr>
          </w:p>
        </w:tc>
      </w:tr>
      <w:tr>
        <w:trPr>
          <w:trHeight w:val="153"/>
        </w:trPr>
        <w:tc>
          <w:tcPr>
            <w:tcW w:w="1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80" w:type="dxa"/>
            <w:vAlign w:val="bottom"/>
            <w:gridSpan w:val="8"/>
          </w:tcPr>
          <w:p>
            <w:pPr>
              <w:ind w:left="660"/>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403,173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744,041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92,692</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(178,927)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(408,757)</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(57,462)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(86,081)</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(75,062)</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(10,552)</w:t>
            </w:r>
          </w:p>
        </w:tc>
        <w:tc>
          <w:tcPr>
            <w:tcW w:w="20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1,581,013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2,459,217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345,711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657,960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584,304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82,140</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(1,694,941)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(2,254,459)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(316,927)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(670,172)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(581,158)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(81,698)</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(116,265)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(273,484)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(38,446)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(41,976)</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(52,301)</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(7,352)</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(100,341)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(166,650)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(23,427)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(44,390)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(6,240)</w:t>
            </w:r>
          </w:p>
        </w:tc>
        <w:tc>
          <w:tcPr>
            <w:tcW w:w="20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(1,911,547)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(2,694,593)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(378,800)</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(742,476)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(677,849)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(330,534)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(235,376)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(33,089)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(93,545)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(13,150)</w:t>
            </w:r>
          </w:p>
        </w:tc>
        <w:tc>
          <w:tcPr>
            <w:tcW w:w="200" w:type="dxa"/>
            <w:vAlign w:val="bottom"/>
          </w:tcPr>
          <w:p>
            <w:pPr>
              <w:spacing w:after="0"/>
              <w:rPr>
                <w:sz w:val="18"/>
                <w:szCs w:val="18"/>
                <w:color w:val="auto"/>
              </w:rPr>
            </w:pPr>
          </w:p>
        </w:tc>
      </w:tr>
      <w:tr>
        <w:trPr>
          <w:trHeight w:val="219"/>
        </w:trPr>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incomes, net:</w:t>
            </w: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19,913</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6,027</w:t>
            </w:r>
          </w:p>
        </w:tc>
        <w:tc>
          <w:tcPr>
            <w:tcW w:w="2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(315,000)</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(215,076)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(30,236)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(78,469)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(86,903)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(12,216)</w:t>
            </w:r>
          </w:p>
        </w:tc>
        <w:tc>
          <w:tcPr>
            <w:tcW w:w="20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(18,350)</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(10,375)</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w:t>
            </w:r>
          </w:p>
        </w:tc>
        <w:tc>
          <w:tcPr>
            <w:tcW w:w="200" w:type="dxa"/>
            <w:vAlign w:val="bottom"/>
          </w:tcPr>
          <w:p>
            <w:pPr>
              <w:spacing w:after="0"/>
              <w:rPr>
                <w:sz w:val="18"/>
                <w:szCs w:val="18"/>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356"/>
        </w:trPr>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4039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93560" cy="40398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60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34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3"/>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860" w:type="dxa"/>
            <w:vAlign w:val="bottom"/>
            <w:tcBorders>
              <w:bottom w:val="single" w:sz="8" w:color="auto"/>
            </w:tcBorders>
          </w:tcPr>
          <w:p>
            <w:pPr>
              <w:jc w:val="right"/>
              <w:ind w:right="17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right"/>
              <w:ind w:right="27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60" w:type="dxa"/>
            <w:vAlign w:val="bottom"/>
            <w:gridSpan w:val="8"/>
          </w:tcPr>
          <w:p>
            <w:pPr>
              <w:jc w:val="right"/>
              <w:ind w:right="534"/>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(32,816)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(77,927)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(97,278)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(231,587)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(32,557)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(77,723)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(95,152)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(13,375)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3"/>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Pro-forma net loss attributable to ordinary</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of QuantaSing Group</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180"/>
              <w:spacing w:after="0" w:line="233" w:lineRule="exact"/>
              <w:rPr>
                <w:sz w:val="20"/>
                <w:szCs w:val="20"/>
                <w:color w:val="auto"/>
              </w:rPr>
            </w:pPr>
            <w:r>
              <w:rPr>
                <w:rFonts w:ascii="Times New Roman" w:cs="Times New Roman" w:eastAsia="Times New Roman" w:hAnsi="Times New Roman"/>
                <w:sz w:val="18"/>
                <w:szCs w:val="18"/>
                <w:b w:val="1"/>
                <w:bCs w:val="1"/>
                <w:color w:val="auto"/>
              </w:rPr>
              <w:t>Limited</w:t>
            </w:r>
            <w:r>
              <w:rPr>
                <w:rFonts w:ascii="Times New Roman" w:cs="Times New Roman" w:eastAsia="Times New Roman" w:hAnsi="Times New Roman"/>
                <w:sz w:val="26"/>
                <w:szCs w:val="26"/>
                <w:b w:val="1"/>
                <w:bCs w:val="1"/>
                <w:color w:val="auto"/>
                <w:vertAlign w:val="superscript"/>
              </w:rPr>
              <w:t>(1)</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(32,816)</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(97,278)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0" w:type="dxa"/>
            <w:vAlign w:val="bottom"/>
          </w:tcPr>
          <w:p>
            <w:pPr>
              <w:spacing w:after="0"/>
              <w:rPr>
                <w:sz w:val="1"/>
                <w:szCs w:val="1"/>
                <w:color w:val="auto"/>
              </w:rPr>
            </w:pPr>
          </w:p>
        </w:tc>
      </w:tr>
      <w:tr>
        <w:trPr>
          <w:trHeight w:val="192"/>
        </w:trPr>
        <w:tc>
          <w:tcPr>
            <w:tcW w:w="34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Pro forma weighted average number of</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used in computing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Pr>
          <w:p>
            <w:pPr>
              <w:ind w:left="180"/>
              <w:spacing w:after="0" w:line="233" w:lineRule="exact"/>
              <w:rPr>
                <w:sz w:val="20"/>
                <w:szCs w:val="20"/>
                <w:color w:val="auto"/>
              </w:rPr>
            </w:pPr>
            <w:r>
              <w:rPr>
                <w:rFonts w:ascii="Times New Roman" w:cs="Times New Roman" w:eastAsia="Times New Roman" w:hAnsi="Times New Roman"/>
                <w:sz w:val="18"/>
                <w:szCs w:val="18"/>
                <w:b w:val="1"/>
                <w:bCs w:val="1"/>
                <w:color w:val="auto"/>
              </w:rPr>
              <w:t>loss per share, basic and diluted</w:t>
            </w:r>
            <w:r>
              <w:rPr>
                <w:rFonts w:ascii="Times New Roman" w:cs="Times New Roman" w:eastAsia="Times New Roman" w:hAnsi="Times New Roman"/>
                <w:sz w:val="26"/>
                <w:szCs w:val="26"/>
                <w:b w:val="1"/>
                <w:bCs w:val="1"/>
                <w:color w:val="auto"/>
                <w:vertAlign w:val="superscript"/>
              </w:rPr>
              <w:t>(1)</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150,114,581</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150,114,581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155,283,417</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155,283,417</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Pro forma net loss per share attributable to</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180"/>
              <w:spacing w:after="0" w:line="233" w:lineRule="exact"/>
              <w:rPr>
                <w:sz w:val="20"/>
                <w:szCs w:val="20"/>
                <w:color w:val="auto"/>
              </w:rPr>
            </w:pPr>
            <w:r>
              <w:rPr>
                <w:rFonts w:ascii="Times New Roman" w:cs="Times New Roman" w:eastAsia="Times New Roman" w:hAnsi="Times New Roman"/>
                <w:sz w:val="18"/>
                <w:szCs w:val="18"/>
                <w:b w:val="1"/>
                <w:bCs w:val="1"/>
                <w:color w:val="auto"/>
              </w:rPr>
              <w:t>ordinary shareholders</w:t>
            </w:r>
            <w:r>
              <w:rPr>
                <w:rFonts w:ascii="Times New Roman" w:cs="Times New Roman" w:eastAsia="Times New Roman" w:hAnsi="Times New Roman"/>
                <w:sz w:val="26"/>
                <w:szCs w:val="26"/>
                <w:b w:val="1"/>
                <w:bCs w:val="1"/>
                <w:color w:val="auto"/>
                <w:vertAlign w:val="superscript"/>
              </w:rPr>
              <w:t>(1)</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3"/>
        </w:trPr>
        <w:tc>
          <w:tcPr>
            <w:tcW w:w="3440" w:type="dxa"/>
            <w:vAlign w:val="bottom"/>
          </w:tcPr>
          <w:p>
            <w:pPr>
              <w:spacing w:after="0" w:line="213" w:lineRule="exact"/>
              <w:rPr>
                <w:sz w:val="20"/>
                <w:szCs w:val="20"/>
                <w:color w:val="auto"/>
              </w:rPr>
            </w:pPr>
            <w:r>
              <w:rPr>
                <w:rFonts w:ascii="Times New Roman" w:cs="Times New Roman" w:eastAsia="Times New Roman" w:hAnsi="Times New Roman"/>
                <w:sz w:val="17"/>
                <w:szCs w:val="17"/>
                <w:b w:val="1"/>
                <w:bCs w:val="1"/>
                <w:color w:val="auto"/>
              </w:rPr>
              <w:t>Non-GAAP financial measures</w:t>
            </w:r>
            <w:r>
              <w:rPr>
                <w:rFonts w:ascii="Times New Roman" w:cs="Times New Roman" w:eastAsia="Times New Roman" w:hAnsi="Times New Roman"/>
                <w:sz w:val="24"/>
                <w:szCs w:val="24"/>
                <w:b w:val="1"/>
                <w:bCs w:val="1"/>
                <w:color w:val="auto"/>
                <w:vertAlign w:val="superscript"/>
              </w:rPr>
              <w:t>(2)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Gross billings of individual online learning</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2,045,203</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2,758,236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387,747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804,359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664,927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93,474</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(loss)/profit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(214,207)</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800" w:hanging="421"/>
        <w:spacing w:after="0" w:line="224" w:lineRule="auto"/>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Pro-forma net loss attributable to holders of ordinary shares of QuantaSing Group Limited, pro forma weighted average number of ordinary shares used in computing net loss per share, basic and diluted, and pro forma net loss per share attributable to holders of ordinary shares are each presented, after giving effect to the assumption that all preferred shares have been converted into ordinary shares as of July 1, 2021, at the conversion ratio of one for one. See note 17 to our consolidated financial statements included elsewhere in this prospectus for an explanation and calculation of historical loss per share, basic and diluted.</w:t>
      </w:r>
    </w:p>
    <w:p>
      <w:pPr>
        <w:ind w:left="800" w:hanging="421"/>
        <w:spacing w:after="0"/>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 — Non-GAAP Financial Measures.”</w:t>
      </w: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320" w:top="452" w:right="7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7594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93560" cy="759460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for the periods indicated.</w:t>
      </w: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0"/>
        </w:trPr>
        <w:tc>
          <w:tcPr>
            <w:tcW w:w="6360" w:type="dxa"/>
            <w:vAlign w:val="bottom"/>
          </w:tcPr>
          <w:p>
            <w:pPr>
              <w:spacing w:after="0"/>
              <w:rPr>
                <w:sz w:val="12"/>
                <w:szCs w:val="12"/>
                <w:color w:val="auto"/>
              </w:rPr>
            </w:pPr>
          </w:p>
        </w:tc>
        <w:tc>
          <w:tcPr>
            <w:tcW w:w="640" w:type="dxa"/>
            <w:vAlign w:val="bottom"/>
            <w:tcBorders>
              <w:top w:val="single" w:sz="8" w:color="auto"/>
            </w:tcBorders>
          </w:tcPr>
          <w:p>
            <w:pPr>
              <w:jc w:val="right"/>
              <w:ind w:right="81"/>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gridSpan w:val="3"/>
          </w:tcPr>
          <w:p>
            <w:pPr>
              <w:ind w:left="6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6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61"/>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1"/>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61"/>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53"/>
        </w:trPr>
        <w:tc>
          <w:tcPr>
            <w:tcW w:w="6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25,101</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266,427</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37,454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450,236</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63,293</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29,629</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132,632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18,645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856</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99,127</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1,937</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3,870</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544</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47,394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6,663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24,933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3,505</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118,582</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115,560</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16,245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123,638</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17,381</w:t>
            </w:r>
          </w:p>
        </w:tc>
      </w:tr>
      <w:tr>
        <w:trPr>
          <w:trHeight w:val="27"/>
        </w:trPr>
        <w:tc>
          <w:tcPr>
            <w:tcW w:w="6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274,887</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563,950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79,279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608,859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85,592</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5,169</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625</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33,332</w:t>
            </w:r>
          </w:p>
        </w:tc>
        <w:tc>
          <w:tcPr>
            <w:tcW w:w="120" w:type="dxa"/>
            <w:vAlign w:val="bottom"/>
          </w:tcPr>
          <w:p>
            <w:pPr>
              <w:spacing w:after="0"/>
              <w:rPr>
                <w:sz w:val="17"/>
                <w:szCs w:val="17"/>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23,917</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3,362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20,599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2,896</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10,430</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10,048</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1,413</w:t>
            </w:r>
          </w:p>
        </w:tc>
      </w:tr>
      <w:tr>
        <w:trPr>
          <w:trHeight w:val="27"/>
        </w:trPr>
        <w:tc>
          <w:tcPr>
            <w:tcW w:w="6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55,339</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39,516</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5,555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35,092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4,934</w:t>
            </w: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330,226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603,466</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84,834</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643,951</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90,526</w:t>
            </w:r>
          </w:p>
        </w:tc>
        <w:tc>
          <w:tcPr>
            <w:tcW w:w="1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74,462</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45,178</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6,351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69,801</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9,812</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68,895</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108,592</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15,266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131,719</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18,517</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13,093</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1,841</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 current portion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267,729</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384,729</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54,084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436,359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61,343</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Advance from customers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133,201</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151,089</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21,240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143,125</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20,120</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16,331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15,464</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2,174</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713,217</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100,263</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809,561</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113,807</w:t>
            </w:r>
          </w:p>
        </w:tc>
        <w:tc>
          <w:tcPr>
            <w:tcW w:w="120" w:type="dxa"/>
            <w:vAlign w:val="bottom"/>
          </w:tcPr>
          <w:p>
            <w:pPr>
              <w:spacing w:after="0"/>
              <w:rPr>
                <w:sz w:val="18"/>
                <w:szCs w:val="18"/>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 non-current portion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26,358</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8,869</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4,587</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6,566</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923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3,771</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530</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20" w:type="dxa"/>
            <w:vAlign w:val="bottom"/>
          </w:tcPr>
          <w:p>
            <w:pPr>
              <w:spacing w:after="0"/>
              <w:rPr>
                <w:sz w:val="17"/>
                <w:szCs w:val="17"/>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6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36,468</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15,435</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2,170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8,358</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1,175</w:t>
            </w: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609,732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728,652</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102,433</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817,919</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114,982</w:t>
            </w:r>
          </w:p>
        </w:tc>
        <w:tc>
          <w:tcPr>
            <w:tcW w:w="1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redeemable preferred shares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82,002</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11,528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82,002</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11,528</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redeemable preferred shares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94,833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13,331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94,833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13,331</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Series B-1 convertible redeemable preferred shares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33,612</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4,725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33,612</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4,725</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C convertible redeemable preferred shares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108,892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15,308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110,125</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15,481</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Series D convertible redeemable preferred shares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104,156</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14,642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106,541</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14,977</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E convertible redeemable preferred shares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240,665</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33,832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246,516</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34,655</w:t>
            </w: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664,160</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93,366</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673,629</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94,697</w:t>
            </w:r>
          </w:p>
        </w:tc>
        <w:tc>
          <w:tcPr>
            <w:tcW w:w="1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INVESTED DEFICIT / SHAREHOLDERS’ DEFICIT</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Parent Company’s investment deficit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(279,506)</w:t>
            </w:r>
          </w:p>
        </w:tc>
        <w:tc>
          <w:tcPr>
            <w:tcW w:w="120" w:type="dxa"/>
            <w:vAlign w:val="bottom"/>
          </w:tcPr>
          <w:p>
            <w:pPr>
              <w:spacing w:after="0"/>
              <w:rPr>
                <w:sz w:val="17"/>
                <w:szCs w:val="17"/>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ordinary shares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Class B ordinary shares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69,934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9,832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106,830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15,018</w:t>
            </w: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1,839</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3,965</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557</w:t>
            </w:r>
          </w:p>
        </w:tc>
      </w:tr>
      <w:tr>
        <w:trPr>
          <w:trHeight w:val="19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Accumulative deficit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(861,151)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5"/>
              </w:rPr>
              <w:t>(121,059)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(958,429)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(134,733)</w:t>
            </w: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INVESTED DEFICIT / SHAREHOLDERS’ DEFICIT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(279,506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(789,346</w:t>
            </w:r>
          </w:p>
        </w:tc>
        <w:tc>
          <w:tcPr>
            <w:tcW w:w="180" w:type="dxa"/>
            <w:vAlign w:val="bottom"/>
          </w:tcPr>
          <w:p>
            <w:pPr>
              <w:jc w:val="right"/>
              <w:ind w:right="8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6"/>
              </w:rPr>
              <w:t>(110,965)</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(847,597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(119,153)</w:t>
            </w:r>
          </w:p>
        </w:tc>
        <w:tc>
          <w:tcPr>
            <w:tcW w:w="1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63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LIABILITIES, MEZZANINE EQUITY AND INVESTED DEFICIT /</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5"/>
        </w:trPr>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330,226</w:t>
            </w:r>
          </w:p>
        </w:tc>
        <w:tc>
          <w:tcPr>
            <w:tcW w:w="94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603,466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84,834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643,951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90,526</w:t>
            </w:r>
          </w:p>
        </w:tc>
      </w:tr>
      <w:tr>
        <w:trPr>
          <w:trHeight w:val="20"/>
        </w:trPr>
        <w:tc>
          <w:tcPr>
            <w:tcW w:w="6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0"/>
          </w:cols>
          <w:pgMar w:left="320" w:top="452"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5965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93560" cy="59651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flows data for the periods indicated.</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40" w:type="dxa"/>
            <w:vAlign w:val="bottom"/>
            <w:gridSpan w:val="7"/>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1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18"/>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9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ind w:right="8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800" w:type="dxa"/>
            <w:vAlign w:val="bottom"/>
            <w:tcBorders>
              <w:bottom w:val="single" w:sz="8" w:color="auto"/>
            </w:tcBorders>
          </w:tcPr>
          <w:p>
            <w:pPr>
              <w:jc w:val="right"/>
              <w:ind w:right="158"/>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79,425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272,636</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38,325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28,464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(62,353)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(108,581)</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(15,263)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153,311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21,552</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(21,093)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71,629</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10,070</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 and restricted cash</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241,326</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33,925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183,901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25,852</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the period</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29,122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25,101</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3,529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266,427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37,454</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period</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25,101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266,427</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37,454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450,328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Affiliated Entities</w:t>
      </w:r>
    </w:p>
    <w:p>
      <w:pPr>
        <w:spacing w:after="0" w:line="114" w:lineRule="exact"/>
        <w:rPr>
          <w:sz w:val="20"/>
          <w:szCs w:val="20"/>
          <w:color w:val="auto"/>
        </w:rPr>
      </w:pPr>
    </w:p>
    <w:p>
      <w:pPr>
        <w:ind w:left="380" w:right="340" w:firstLine="420"/>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schedules for QuantaSing Group Limited (including share-based compensation expenses pushed down by Witty network and EW Technology), our WFOE that is the primary beneficiary of the VIE under the U.S. GAAP (the “primary beneficiary of the VIE”), the VIE and its subsidiaries, and our other subsidiaries that are not the primary beneficiary of the VIE (i.e., our subsidiaries in the BVI and Hong Kong) for the periods and as of the dates indicated.</w:t>
      </w: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statements of operations information</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60" w:type="dxa"/>
            <w:vAlign w:val="bottom"/>
            <w:gridSpan w:val="2"/>
          </w:tcPr>
          <w:p>
            <w:pPr>
              <w:jc w:val="center"/>
              <w:ind w:right="102"/>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Group</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060" w:type="dxa"/>
            <w:vAlign w:val="bottom"/>
            <w:gridSpan w:val="2"/>
          </w:tcPr>
          <w:p>
            <w:pPr>
              <w:jc w:val="center"/>
              <w:ind w:right="102"/>
              <w:spacing w:after="0" w:line="147" w:lineRule="exact"/>
              <w:rPr>
                <w:sz w:val="20"/>
                <w:szCs w:val="20"/>
                <w:color w:val="auto"/>
              </w:rPr>
            </w:pPr>
            <w:r>
              <w:rPr>
                <w:rFonts w:ascii="Times New Roman" w:cs="Times New Roman" w:eastAsia="Times New Roman" w:hAnsi="Times New Roman"/>
                <w:sz w:val="14"/>
                <w:szCs w:val="14"/>
                <w:b w:val="1"/>
                <w:bCs w:val="1"/>
                <w:color w:val="auto"/>
                <w:w w:val="99"/>
              </w:rPr>
              <w:t>and its</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the VIE</w:t>
            </w:r>
          </w:p>
        </w:tc>
        <w:tc>
          <w:tcPr>
            <w:tcW w:w="1060" w:type="dxa"/>
            <w:vAlign w:val="bottom"/>
            <w:gridSpan w:val="2"/>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4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tcBorders>
              <w:top w:val="single" w:sz="8" w:color="auto"/>
            </w:tcBorders>
          </w:tcPr>
          <w:p>
            <w:pPr>
              <w:jc w:val="right"/>
              <w:ind w:right="116"/>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2,867,218</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Intra-group revenues</w:t>
            </w:r>
            <w:r>
              <w:rPr>
                <w:rFonts w:ascii="Times New Roman" w:cs="Times New Roman" w:eastAsia="Times New Roman" w:hAnsi="Times New Roman"/>
                <w:sz w:val="24"/>
                <w:szCs w:val="24"/>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230,281</w:t>
            </w: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(230,281)</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231,037</w:t>
            </w: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2,867,218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(230,281)</w:t>
            </w:r>
          </w:p>
        </w:tc>
        <w:tc>
          <w:tcPr>
            <w:tcW w:w="10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External cost of revenues and operating expenses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(292,110)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(235,092)</w:t>
            </w: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(2,576,144)</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(3,103,350)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Intra-group cost of revenues and operating expenses related to</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consulting and related service under VIE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70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color w:val="auto"/>
              </w:rPr>
              <w:t>agreements</w:t>
            </w:r>
            <w:r>
              <w:rPr>
                <w:rFonts w:ascii="Times New Roman" w:cs="Times New Roman" w:eastAsia="Times New Roman" w:hAnsi="Times New Roman"/>
                <w:sz w:val="26"/>
                <w:szCs w:val="26"/>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(230,281)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230,281</w:t>
            </w:r>
          </w:p>
        </w:tc>
        <w:tc>
          <w:tcPr>
            <w:tcW w:w="1000" w:type="dxa"/>
            <w:vAlign w:val="bottom"/>
            <w:gridSpan w:val="2"/>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 and operating expenses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(292,110)</w:t>
            </w:r>
          </w:p>
        </w:tc>
        <w:tc>
          <w:tcPr>
            <w:tcW w:w="20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(235,092</w:t>
            </w:r>
          </w:p>
        </w:tc>
        <w:tc>
          <w:tcPr>
            <w:tcW w:w="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(2,806,425</w:t>
            </w:r>
          </w:p>
        </w:tc>
        <w:tc>
          <w:tcPr>
            <w:tcW w:w="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230,281</w:t>
            </w:r>
          </w:p>
        </w:tc>
        <w:tc>
          <w:tcPr>
            <w:tcW w:w="2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(3,103,350</w:t>
            </w: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Share of (loss)/income from subsidiaries</w:t>
            </w:r>
            <w:r>
              <w:rPr>
                <w:rFonts w:ascii="Times New Roman" w:cs="Times New Roman" w:eastAsia="Times New Roman" w:hAnsi="Times New Roman"/>
                <w:sz w:val="24"/>
                <w:szCs w:val="24"/>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8,129</w:t>
            </w:r>
          </w:p>
        </w:tc>
        <w:tc>
          <w:tcPr>
            <w:tcW w:w="10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Income/(loss) of the VIE</w:t>
            </w:r>
            <w:r>
              <w:rPr>
                <w:rFonts w:ascii="Times New Roman" w:cs="Times New Roman" w:eastAsia="Times New Roman" w:hAnsi="Times New Roman"/>
                <w:sz w:val="24"/>
                <w:szCs w:val="24"/>
                <w:color w:val="auto"/>
                <w:vertAlign w:val="superscript"/>
              </w:rPr>
              <w:t>(2)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62,712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62,712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62,712</w:t>
            </w: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(188,136)</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20,269</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20,300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58,684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58,611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81,062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(180,007)</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(18,350)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58,684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58,611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62,712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(180,007)</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5" w:lineRule="exact"/>
        <w:rPr>
          <w:sz w:val="20"/>
          <w:szCs w:val="20"/>
          <w:color w:val="auto"/>
        </w:rPr>
      </w:pPr>
    </w:p>
    <w:tbl>
      <w:tblPr>
        <w:tblLayout w:type="fixed"/>
        <w:tblInd w:w="210" w:type="dxa"/>
        <w:tblCellMar>
          <w:top w:w="0" w:type="dxa"/>
          <w:left w:w="0" w:type="dxa"/>
          <w:bottom w:w="0" w:type="dxa"/>
          <w:right w:w="0" w:type="dxa"/>
        </w:tblCellMar>
      </w:tblPr>
      <w:tr>
        <w:trPr>
          <w:trHeight w:val="336"/>
        </w:trPr>
        <w:tc>
          <w:tcPr>
            <w:tcW w:w="180" w:type="dxa"/>
            <w:vAlign w:val="bottom"/>
            <w:tcBorders>
              <w:top w:val="single" w:sz="8" w:color="auto"/>
              <w:left w:val="single" w:sz="8" w:color="auto"/>
            </w:tcBorders>
          </w:tcPr>
          <w:p>
            <w:pPr>
              <w:spacing w:after="0"/>
              <w:rPr>
                <w:sz w:val="24"/>
                <w:szCs w:val="24"/>
                <w:color w:val="auto"/>
              </w:rPr>
            </w:pPr>
          </w:p>
        </w:tc>
        <w:tc>
          <w:tcPr>
            <w:tcW w:w="4480" w:type="dxa"/>
            <w:vAlign w:val="bottom"/>
            <w:tcBorders>
              <w:top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2021</w:t>
            </w: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left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9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960" w:type="dxa"/>
            <w:vAlign w:val="bottom"/>
            <w:gridSpan w:val="2"/>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ind w:right="109"/>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100" w:type="dxa"/>
            <w:vAlign w:val="bottom"/>
            <w:gridSpan w:val="2"/>
          </w:tcPr>
          <w:p>
            <w:pPr>
              <w:jc w:val="right"/>
              <w:ind w:right="380"/>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Group</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10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and its</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4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4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4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of the VIE</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vMerge w:val="continue"/>
          </w:tcPr>
          <w:p>
            <w:pPr>
              <w:spacing w:after="0"/>
              <w:rPr>
                <w:sz w:val="14"/>
                <w:szCs w:val="14"/>
                <w:color w:val="auto"/>
              </w:rPr>
            </w:pPr>
          </w:p>
        </w:tc>
        <w:tc>
          <w:tcPr>
            <w:tcW w:w="124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Borders>
              <w:left w:val="single" w:sz="8" w:color="auto"/>
            </w:tcBorders>
          </w:tcPr>
          <w:p>
            <w:pPr>
              <w:spacing w:after="0"/>
              <w:rPr>
                <w:sz w:val="13"/>
                <w:szCs w:val="13"/>
                <w:color w:val="auto"/>
              </w:rPr>
            </w:pPr>
          </w:p>
        </w:tc>
        <w:tc>
          <w:tcPr>
            <w:tcW w:w="44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tcPr>
          <w:p>
            <w:pPr>
              <w:jc w:val="right"/>
              <w:ind w:right="136"/>
              <w:spacing w:after="0" w:line="153"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1,759,793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Intra-group revenues</w:t>
            </w:r>
            <w:r>
              <w:rPr>
                <w:rFonts w:ascii="Times New Roman" w:cs="Times New Roman" w:eastAsia="Times New Roman" w:hAnsi="Times New Roman"/>
                <w:sz w:val="24"/>
                <w:szCs w:val="24"/>
                <w:color w:val="auto"/>
                <w:vertAlign w:val="superscript"/>
              </w:rPr>
              <w:t>(1)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185,036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(185,036)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185,183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1,759,793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(185,036)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External cost of revenues and operating expenses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(101,830)</w:t>
            </w:r>
          </w:p>
        </w:tc>
        <w:tc>
          <w:tcPr>
            <w:tcW w:w="96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(174,198)</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(1,814,446)</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(2,090,474)</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Borders>
              <w:left w:val="single" w:sz="8" w:color="auto"/>
            </w:tcBorders>
          </w:tcPr>
          <w:p>
            <w:pPr>
              <w:spacing w:after="0"/>
              <w:rPr>
                <w:sz w:val="16"/>
                <w:szCs w:val="16"/>
                <w:color w:val="auto"/>
              </w:rPr>
            </w:pPr>
          </w:p>
        </w:tc>
        <w:tc>
          <w:tcPr>
            <w:tcW w:w="4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Intra-group cost of revenues and operating expenses related</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technical consulting and related service under VIE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 w:type="dxa"/>
            <w:vAlign w:val="bottom"/>
            <w:tcBorders>
              <w:left w:val="single" w:sz="8" w:color="auto"/>
            </w:tcBorders>
          </w:tcPr>
          <w:p>
            <w:pPr>
              <w:spacing w:after="0"/>
              <w:rPr>
                <w:sz w:val="20"/>
                <w:szCs w:val="20"/>
                <w:color w:val="auto"/>
              </w:rPr>
            </w:pPr>
          </w:p>
        </w:tc>
        <w:tc>
          <w:tcPr>
            <w:tcW w:w="448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color w:val="auto"/>
              </w:rPr>
              <w:t>agreements</w:t>
            </w:r>
            <w:r>
              <w:rPr>
                <w:rFonts w:ascii="Times New Roman" w:cs="Times New Roman" w:eastAsia="Times New Roman" w:hAnsi="Times New Roman"/>
                <w:sz w:val="26"/>
                <w:szCs w:val="26"/>
                <w:color w:val="auto"/>
                <w:vertAlign w:val="superscript"/>
              </w:rPr>
              <w:t>(1)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(185,036)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185,036</w:t>
            </w:r>
          </w:p>
        </w:tc>
        <w:tc>
          <w:tcPr>
            <w:tcW w:w="1040" w:type="dxa"/>
            <w:vAlign w:val="bottom"/>
            <w:gridSpan w:val="2"/>
            <w:vMerge w:val="continue"/>
            <w:shd w:val="clear" w:color="auto" w:fill="CCEEFF"/>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 and operating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(101,830)</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(174,198)</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(1,999,482)</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185,036</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(2,090,474)</w:t>
            </w: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Share of income/(loss) from subsidiaries</w:t>
            </w:r>
            <w:r>
              <w:rPr>
                <w:rFonts w:ascii="Times New Roman" w:cs="Times New Roman" w:eastAsia="Times New Roman" w:hAnsi="Times New Roman"/>
                <w:sz w:val="24"/>
                <w:szCs w:val="24"/>
                <w:color w:val="auto"/>
                <w:vertAlign w:val="superscript"/>
              </w:rPr>
              <w:t>(2)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10,835</w:t>
            </w:r>
          </w:p>
        </w:tc>
        <w:tc>
          <w:tcPr>
            <w:tcW w:w="9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10,835</w:t>
            </w:r>
          </w:p>
        </w:tc>
        <w:tc>
          <w:tcPr>
            <w:tcW w:w="9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(21,670)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(Loss)/income of the VIE</w:t>
            </w:r>
            <w:r>
              <w:rPr>
                <w:rFonts w:ascii="Times New Roman" w:cs="Times New Roman" w:eastAsia="Times New Roman" w:hAnsi="Times New Roman"/>
                <w:sz w:val="24"/>
                <w:szCs w:val="24"/>
                <w:color w:val="auto"/>
                <w:vertAlign w:val="superscript"/>
              </w:rPr>
              <w:t>(2)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(225,042)</w:t>
            </w:r>
          </w:p>
        </w:tc>
        <w:tc>
          <w:tcPr>
            <w:tcW w:w="9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(225,042)</w:t>
            </w:r>
          </w:p>
        </w:tc>
        <w:tc>
          <w:tcPr>
            <w:tcW w:w="9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(225,042)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675,126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(loss)/income</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15,684</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15,534</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(214,207)</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(214,207)</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(224,005)</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653,456</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(315,000)</w:t>
            </w: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Borders>
              <w:left w:val="single" w:sz="8" w:color="auto"/>
            </w:tcBorders>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(214,207)</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(214,207)</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(225,042)</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653,456</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tcBorders>
              <w:left w:val="single" w:sz="8" w:color="auto"/>
              <w:bottom w:val="single" w:sz="8" w:color="auto"/>
            </w:tcBorders>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4082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93560" cy="40824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balance sheets information</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40" w:type="dxa"/>
            <w:vAlign w:val="bottom"/>
            <w:gridSpan w:val="2"/>
          </w:tcPr>
          <w:p>
            <w:pPr>
              <w:jc w:val="center"/>
              <w:ind w:right="202"/>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102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gridSpan w:val="2"/>
          </w:tcPr>
          <w:p>
            <w:pPr>
              <w:jc w:val="center"/>
              <w:ind w:right="211"/>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40" w:type="dxa"/>
            <w:vAlign w:val="bottom"/>
            <w:gridSpan w:val="2"/>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Group</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040" w:type="dxa"/>
            <w:vAlign w:val="bottom"/>
            <w:gridSpan w:val="2"/>
          </w:tcPr>
          <w:p>
            <w:pPr>
              <w:jc w:val="center"/>
              <w:ind w:right="211"/>
              <w:spacing w:after="0" w:line="147" w:lineRule="exact"/>
              <w:rPr>
                <w:sz w:val="20"/>
                <w:szCs w:val="20"/>
                <w:color w:val="auto"/>
              </w:rPr>
            </w:pPr>
            <w:r>
              <w:rPr>
                <w:rFonts w:ascii="Times New Roman" w:cs="Times New Roman" w:eastAsia="Times New Roman" w:hAnsi="Times New Roman"/>
                <w:sz w:val="14"/>
                <w:szCs w:val="14"/>
                <w:b w:val="1"/>
                <w:bCs w:val="1"/>
                <w:color w:val="auto"/>
              </w:rPr>
              <w:t>and its</w:t>
            </w:r>
          </w:p>
        </w:tc>
        <w:tc>
          <w:tcPr>
            <w:tcW w:w="104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40" w:type="dxa"/>
            <w:vAlign w:val="bottom"/>
            <w:gridSpan w:val="2"/>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2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of the VIE</w:t>
            </w:r>
          </w:p>
        </w:tc>
        <w:tc>
          <w:tcPr>
            <w:tcW w:w="1040" w:type="dxa"/>
            <w:vAlign w:val="bottom"/>
            <w:gridSpan w:val="2"/>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4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tcBorders>
              <w:top w:val="single" w:sz="8" w:color="auto"/>
            </w:tcBorders>
          </w:tcPr>
          <w:p>
            <w:pPr>
              <w:jc w:val="right"/>
              <w:ind w:right="94"/>
              <w:spacing w:after="0" w:line="153"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40,279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142,681</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83,449</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266,427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78,257</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54,375</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132,632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1,937</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47,394</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47,394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Amounts due from intra-group companies</w:t>
            </w:r>
            <w:r>
              <w:rPr>
                <w:rFonts w:ascii="Times New Roman" w:cs="Times New Roman" w:eastAsia="Times New Roman" w:hAnsi="Times New Roman"/>
                <w:sz w:val="24"/>
                <w:szCs w:val="24"/>
                <w:color w:val="auto"/>
                <w:vertAlign w:val="superscript"/>
              </w:rPr>
              <w:t>(3)</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155,960</w:t>
            </w:r>
          </w:p>
        </w:tc>
        <w:tc>
          <w:tcPr>
            <w:tcW w:w="10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(155,960)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111,790</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115,560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21,437</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3,669</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9,612</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0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81,979</w:t>
            </w:r>
          </w:p>
        </w:tc>
        <w:tc>
          <w:tcPr>
            <w:tcW w:w="10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41,700</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(123,679)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81,997</w:t>
            </w:r>
          </w:p>
        </w:tc>
        <w:tc>
          <w:tcPr>
            <w:tcW w:w="10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81,979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229,506</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489,623</w:t>
            </w:r>
          </w:p>
        </w:tc>
        <w:tc>
          <w:tcPr>
            <w:tcW w:w="10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(279,639)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603,466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30,346</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77,616</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108,592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Amounts due to intra-group companies</w:t>
            </w:r>
            <w:r>
              <w:rPr>
                <w:rFonts w:ascii="Times New Roman" w:cs="Times New Roman" w:eastAsia="Times New Roman" w:hAnsi="Times New Roman"/>
                <w:sz w:val="24"/>
                <w:szCs w:val="24"/>
                <w:color w:val="auto"/>
                <w:vertAlign w:val="superscript"/>
              </w:rPr>
              <w:t>(3)</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155,960</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(155,960)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7,298</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393,598</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151,089</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151,089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21,397</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Net liabilities of the VIE</w:t>
            </w:r>
            <w:r>
              <w:rPr>
                <w:rFonts w:ascii="Times New Roman" w:cs="Times New Roman" w:eastAsia="Times New Roman" w:hAnsi="Times New Roman"/>
                <w:sz w:val="24"/>
                <w:szCs w:val="24"/>
                <w:color w:val="auto"/>
                <w:vertAlign w:val="superscript"/>
              </w:rPr>
              <w:t>(2)</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206,553</w:t>
            </w:r>
          </w:p>
        </w:tc>
        <w:tc>
          <w:tcPr>
            <w:tcW w:w="10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206,553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206,553</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(619,659)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207,183</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206,553</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394,359</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696,176</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(775,619</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728,652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664,160</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664,160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(124,574</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(164,853</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(206,553</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495,980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5" w:lineRule="exact"/>
        <w:rPr>
          <w:sz w:val="20"/>
          <w:szCs w:val="20"/>
          <w:color w:val="auto"/>
        </w:rPr>
      </w:pPr>
    </w:p>
    <w:tbl>
      <w:tblPr>
        <w:tblLayout w:type="fixed"/>
        <w:tblInd w:w="210" w:type="dxa"/>
        <w:tblCellMar>
          <w:top w:w="0" w:type="dxa"/>
          <w:left w:w="0" w:type="dxa"/>
          <w:bottom w:w="0" w:type="dxa"/>
          <w:right w:w="0" w:type="dxa"/>
        </w:tblCellMar>
      </w:tblPr>
      <w:tr>
        <w:trPr>
          <w:trHeight w:val="336"/>
        </w:trPr>
        <w:tc>
          <w:tcPr>
            <w:tcW w:w="180" w:type="dxa"/>
            <w:vAlign w:val="bottom"/>
            <w:tcBorders>
              <w:top w:val="single" w:sz="8" w:color="auto"/>
              <w:left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7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left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040" w:type="dxa"/>
            <w:vAlign w:val="bottom"/>
            <w:gridSpan w:val="2"/>
          </w:tcPr>
          <w:p>
            <w:pPr>
              <w:jc w:val="center"/>
              <w:ind w:right="202"/>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102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gridSpan w:val="2"/>
          </w:tcPr>
          <w:p>
            <w:pPr>
              <w:jc w:val="center"/>
              <w:ind w:right="211"/>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1040" w:type="dxa"/>
            <w:vAlign w:val="bottom"/>
            <w:gridSpan w:val="2"/>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Group</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040" w:type="dxa"/>
            <w:vAlign w:val="bottom"/>
            <w:gridSpan w:val="2"/>
          </w:tcPr>
          <w:p>
            <w:pPr>
              <w:jc w:val="center"/>
              <w:ind w:right="211"/>
              <w:spacing w:after="0" w:line="147" w:lineRule="exact"/>
              <w:rPr>
                <w:sz w:val="20"/>
                <w:szCs w:val="20"/>
                <w:color w:val="auto"/>
              </w:rPr>
            </w:pPr>
            <w:r>
              <w:rPr>
                <w:rFonts w:ascii="Times New Roman" w:cs="Times New Roman" w:eastAsia="Times New Roman" w:hAnsi="Times New Roman"/>
                <w:sz w:val="14"/>
                <w:szCs w:val="14"/>
                <w:b w:val="1"/>
                <w:bCs w:val="1"/>
                <w:color w:val="auto"/>
              </w:rPr>
              <w:t>and its</w:t>
            </w: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11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1040" w:type="dxa"/>
            <w:vAlign w:val="bottom"/>
            <w:gridSpan w:val="2"/>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2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of the VIE</w:t>
            </w:r>
          </w:p>
        </w:tc>
        <w:tc>
          <w:tcPr>
            <w:tcW w:w="1040" w:type="dxa"/>
            <w:vAlign w:val="bottom"/>
            <w:gridSpan w:val="2"/>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40" w:type="dxa"/>
            <w:vAlign w:val="bottom"/>
            <w:gridSpan w:val="2"/>
            <w:vMerge w:val="continue"/>
          </w:tcPr>
          <w:p>
            <w:pPr>
              <w:spacing w:after="0"/>
              <w:rPr>
                <w:sz w:val="14"/>
                <w:szCs w:val="14"/>
                <w:color w:val="auto"/>
              </w:rPr>
            </w:pPr>
          </w:p>
        </w:tc>
        <w:tc>
          <w:tcPr>
            <w:tcW w:w="114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Borders>
              <w:left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tcBorders>
              <w:top w:val="single" w:sz="8" w:color="auto"/>
            </w:tcBorders>
          </w:tcPr>
          <w:p>
            <w:pPr>
              <w:jc w:val="right"/>
              <w:ind w:right="94"/>
              <w:spacing w:after="0" w:line="153"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24,726</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25,101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8,001</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21,628</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29,629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99,127</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99,127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2,448</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Amounts due from intra-group companies</w:t>
            </w:r>
            <w:r>
              <w:rPr>
                <w:rFonts w:ascii="Times New Roman" w:cs="Times New Roman" w:eastAsia="Times New Roman" w:hAnsi="Times New Roman"/>
                <w:sz w:val="24"/>
                <w:szCs w:val="24"/>
                <w:color w:val="auto"/>
                <w:vertAlign w:val="superscript"/>
              </w:rPr>
              <w:t>(3)</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115,223</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118,582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9,302</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9,344</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3,303</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4,749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33,332</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33,332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00" w:type="dxa"/>
            <w:vAlign w:val="bottom"/>
          </w:tcPr>
          <w:p>
            <w:pPr>
              <w:spacing w:after="0"/>
              <w:rPr>
                <w:sz w:val="18"/>
                <w:szCs w:val="18"/>
                <w:color w:val="auto"/>
              </w:rPr>
            </w:pP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6,824</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7,914</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316,413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(500)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330,226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Borders>
              <w:left w:val="single" w:sz="8" w:color="auto"/>
            </w:tcBorders>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74,462</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74,462</w:t>
            </w: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17,130</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51,765</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68,895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12,546</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7,000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19,546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Amounts due to intra-group companies</w:t>
            </w:r>
            <w:r>
              <w:rPr>
                <w:rFonts w:ascii="Times New Roman" w:cs="Times New Roman" w:eastAsia="Times New Roman" w:hAnsi="Times New Roman"/>
                <w:sz w:val="24"/>
                <w:szCs w:val="24"/>
                <w:color w:val="auto"/>
                <w:vertAlign w:val="superscript"/>
              </w:rPr>
              <w:t>(3)</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2,303</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2,303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294,087</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294,087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133,201</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133,201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9,033</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9,070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8,168</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8,168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Deficit in subsidiaries</w:t>
            </w:r>
            <w:r>
              <w:rPr>
                <w:rFonts w:ascii="Times New Roman" w:cs="Times New Roman" w:eastAsia="Times New Roman" w:hAnsi="Times New Roman"/>
                <w:sz w:val="24"/>
                <w:szCs w:val="24"/>
                <w:color w:val="auto"/>
                <w:vertAlign w:val="superscript"/>
              </w:rPr>
              <w:t>(2)</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15,900</w:t>
            </w:r>
          </w:p>
        </w:tc>
        <w:tc>
          <w:tcPr>
            <w:tcW w:w="10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15,900</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Net liabilities of the VIE</w:t>
            </w:r>
            <w:r>
              <w:rPr>
                <w:rFonts w:ascii="Times New Roman" w:cs="Times New Roman" w:eastAsia="Times New Roman" w:hAnsi="Times New Roman"/>
                <w:sz w:val="24"/>
                <w:szCs w:val="24"/>
                <w:color w:val="auto"/>
                <w:vertAlign w:val="superscript"/>
              </w:rPr>
              <w:t>(2)</w:t>
            </w:r>
          </w:p>
        </w:tc>
        <w:tc>
          <w:tcPr>
            <w:tcW w:w="10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263,606</w:t>
            </w:r>
          </w:p>
        </w:tc>
        <w:tc>
          <w:tcPr>
            <w:tcW w:w="10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263,606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263,606</w:t>
            </w:r>
          </w:p>
        </w:tc>
        <w:tc>
          <w:tcPr>
            <w:tcW w:w="10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(790,818)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0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293,819</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580,019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(823,118)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609,732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Borders>
              <w:left w:val="single" w:sz="8" w:color="auto"/>
            </w:tcBorders>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invested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(263,606</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822,618</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80" w:type="dxa"/>
            <w:vAlign w:val="bottom"/>
            <w:tcBorders>
              <w:left w:val="single" w:sz="8" w:color="auto"/>
              <w:bottom w:val="single" w:sz="8" w:color="auto"/>
            </w:tcBorders>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4149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3560" cy="414972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cash flows information</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9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right"/>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2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5"/>
              </w:rPr>
              <w:t>Group</w:t>
            </w:r>
          </w:p>
        </w:tc>
        <w:tc>
          <w:tcPr>
            <w:tcW w:w="920" w:type="dxa"/>
            <w:vAlign w:val="bottom"/>
            <w:gridSpan w:val="2"/>
            <w:vMerge w:val="continue"/>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and its</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of the VIE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(RMB in</w:t>
            </w:r>
          </w:p>
        </w:tc>
        <w:tc>
          <w:tcPr>
            <w:tcW w:w="720" w:type="dxa"/>
            <w:vAlign w:val="bottom"/>
          </w:tcPr>
          <w:p>
            <w:pPr>
              <w:jc w:val="right"/>
              <w:ind w:right="76"/>
              <w:spacing w:after="0" w:line="153"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external parties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(223,119)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495,719</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272,636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companies related to technical consulting and related service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500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color w:val="auto"/>
              </w:rPr>
              <w:t>under VIE agreements</w:t>
            </w:r>
            <w:r>
              <w:rPr>
                <w:rFonts w:ascii="Times New Roman" w:cs="Times New Roman" w:eastAsia="Times New Roman" w:hAnsi="Times New Roman"/>
                <w:sz w:val="26"/>
                <w:szCs w:val="26"/>
                <w:color w:val="auto"/>
                <w:vertAlign w:val="superscript"/>
              </w:rPr>
              <w:t>(1)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239,597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(239,597)</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16,478</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256,122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cash (used in)/provided by transactions with intra-group</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5000" w:type="dxa"/>
            <w:vAlign w:val="bottom"/>
          </w:tcPr>
          <w:p>
            <w:pPr>
              <w:ind w:left="180"/>
              <w:spacing w:after="0" w:line="231"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(47,116)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(64,236)</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(155,960)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267,312</w:t>
            </w:r>
          </w:p>
        </w:tc>
        <w:tc>
          <w:tcPr>
            <w:tcW w:w="1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third-parties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(70,833)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(31,836)</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related parties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(47,116)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(64,236)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(70,833)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(193,708)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267,312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(108,581)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500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47,116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220,196</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(267,312)</w:t>
            </w:r>
          </w:p>
        </w:tc>
        <w:tc>
          <w:tcPr>
            <w:tcW w:w="900" w:type="dxa"/>
            <w:vAlign w:val="bottom"/>
            <w:gridSpan w:val="2"/>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transactions with related parties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47,183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51,686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(23,549)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71,629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47,183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98,802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196,647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(3,691)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(267,312)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71,629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40,279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142,306</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58,723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241,326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5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40,279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142,681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83,449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266,427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4707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93560" cy="4707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20" w:type="dxa"/>
            <w:vAlign w:val="bottom"/>
          </w:tcPr>
          <w:p>
            <w:pPr>
              <w:spacing w:after="0"/>
              <w:rPr>
                <w:sz w:val="9"/>
                <w:szCs w:val="9"/>
                <w:color w:val="auto"/>
              </w:rPr>
            </w:pPr>
          </w:p>
        </w:tc>
        <w:tc>
          <w:tcPr>
            <w:tcW w:w="7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QuantaSing</w:t>
            </w:r>
          </w:p>
        </w:tc>
        <w:tc>
          <w:tcPr>
            <w:tcW w:w="140" w:type="dxa"/>
            <w:vAlign w:val="bottom"/>
          </w:tcPr>
          <w:p>
            <w:pPr>
              <w:spacing w:after="0"/>
              <w:rPr>
                <w:sz w:val="9"/>
                <w:szCs w:val="9"/>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9"/>
                <w:szCs w:val="9"/>
                <w:color w:val="auto"/>
              </w:rPr>
            </w:pPr>
          </w:p>
        </w:tc>
        <w:tc>
          <w:tcPr>
            <w:tcW w:w="900" w:type="dxa"/>
            <w:vAlign w:val="bottom"/>
            <w:gridSpan w:val="2"/>
          </w:tcPr>
          <w:p>
            <w:pPr>
              <w:jc w:val="center"/>
              <w:ind w:right="109"/>
              <w:spacing w:after="0" w:line="115"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2"/>
          </w:tcPr>
          <w:p>
            <w:pPr>
              <w:jc w:val="right"/>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VIE</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5"/>
              </w:rPr>
              <w:t>Group</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940" w:type="dxa"/>
            <w:vAlign w:val="bottom"/>
            <w:gridSpan w:val="2"/>
          </w:tcPr>
          <w:p>
            <w:pPr>
              <w:jc w:val="right"/>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and its</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40" w:type="dxa"/>
            <w:vAlign w:val="bottom"/>
          </w:tcPr>
          <w:p>
            <w:pPr>
              <w:spacing w:after="0"/>
              <w:rPr>
                <w:sz w:val="14"/>
                <w:szCs w:val="14"/>
                <w:color w:val="auto"/>
              </w:rPr>
            </w:pPr>
          </w:p>
        </w:tc>
        <w:tc>
          <w:tcPr>
            <w:tcW w:w="90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of the VIE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ind w:right="9"/>
              <w:spacing w:after="0" w:line="153"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40" w:type="dxa"/>
            <w:vAlign w:val="bottom"/>
            <w:tcBorders>
              <w:top w:val="single" w:sz="8" w:color="auto"/>
            </w:tcBorders>
          </w:tcPr>
          <w:p>
            <w:pPr>
              <w:jc w:val="right"/>
              <w:ind w:right="36"/>
              <w:spacing w:after="0" w:line="153"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external parties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9"/>
              <w:spacing w:after="0"/>
              <w:rPr>
                <w:sz w:val="20"/>
                <w:szCs w:val="20"/>
                <w:color w:val="auto"/>
              </w:rPr>
            </w:pPr>
            <w:r>
              <w:rPr>
                <w:rFonts w:ascii="Times New Roman" w:cs="Times New Roman" w:eastAsia="Times New Roman" w:hAnsi="Times New Roman"/>
                <w:sz w:val="18"/>
                <w:szCs w:val="18"/>
                <w:color w:val="auto"/>
              </w:rPr>
              <w:t>(174,449)</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253,874</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79,425</w:t>
            </w:r>
          </w:p>
        </w:tc>
        <w:tc>
          <w:tcPr>
            <w:tcW w:w="0" w:type="dxa"/>
            <w:vAlign w:val="bottom"/>
          </w:tcPr>
          <w:p>
            <w:pPr>
              <w:spacing w:after="0"/>
              <w:rPr>
                <w:sz w:val="1"/>
                <w:szCs w:val="1"/>
                <w:color w:val="auto"/>
              </w:rPr>
            </w:pPr>
          </w:p>
        </w:tc>
      </w:tr>
      <w:tr>
        <w:trPr>
          <w:trHeight w:val="194"/>
        </w:trPr>
        <w:tc>
          <w:tcPr>
            <w:tcW w:w="5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companies related to technical consulting and related service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color w:val="auto"/>
              </w:rPr>
              <w:t>under VIE agreements</w:t>
            </w:r>
            <w:r>
              <w:rPr>
                <w:rFonts w:ascii="Times New Roman" w:cs="Times New Roman" w:eastAsia="Times New Roman" w:hAnsi="Times New Roman"/>
                <w:sz w:val="26"/>
                <w:szCs w:val="26"/>
                <w:color w:val="auto"/>
                <w:vertAlign w:val="superscript"/>
              </w:rPr>
              <w:t>(1)</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204,121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(204,121)</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29,672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49,753</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transactions with third parties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9"/>
              <w:spacing w:after="0"/>
              <w:rPr>
                <w:sz w:val="20"/>
                <w:szCs w:val="20"/>
                <w:color w:val="auto"/>
              </w:rPr>
            </w:pPr>
            <w:r>
              <w:rPr>
                <w:rFonts w:ascii="Times New Roman" w:cs="Times New Roman" w:eastAsia="Times New Roman" w:hAnsi="Times New Roman"/>
                <w:sz w:val="18"/>
                <w:szCs w:val="18"/>
                <w:color w:val="auto"/>
              </w:rPr>
              <w:t>(9,471)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(53,384)</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(62,855)</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transactions with related parties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1,755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(7,716)</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(54,637)</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related parties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(21,581)</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488</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(21,093)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(21,581)</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488</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(21,093)</w:t>
            </w:r>
          </w:p>
        </w:tc>
        <w:tc>
          <w:tcPr>
            <w:tcW w:w="0" w:type="dxa"/>
            <w:vAlign w:val="bottom"/>
          </w:tcPr>
          <w:p>
            <w:pPr>
              <w:spacing w:after="0"/>
              <w:rPr>
                <w:sz w:val="1"/>
                <w:szCs w:val="1"/>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375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(4,396)</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(4,021)</w:t>
            </w:r>
          </w:p>
        </w:tc>
        <w:tc>
          <w:tcPr>
            <w:tcW w:w="0" w:type="dxa"/>
            <w:vAlign w:val="bottom"/>
          </w:tcPr>
          <w:p>
            <w:pPr>
              <w:spacing w:after="0"/>
              <w:rPr>
                <w:sz w:val="1"/>
                <w:szCs w:val="1"/>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375</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24,726</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25,101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Notes to the condensed consolidating financial information:</w:t>
      </w:r>
    </w:p>
    <w:p>
      <w:pPr>
        <w:spacing w:after="0" w:line="3" w:lineRule="exact"/>
        <w:rPr>
          <w:sz w:val="20"/>
          <w:szCs w:val="20"/>
          <w:color w:val="auto"/>
        </w:rPr>
      </w:pPr>
    </w:p>
    <w:p>
      <w:pPr>
        <w:ind w:left="800" w:right="80" w:hanging="421"/>
        <w:spacing w:after="0" w:line="218" w:lineRule="auto"/>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technical consulting and related service charges under the contractual arrangements at the consolidation level. In the fiscal years ended June 30, 2021 and 2022, the total amount of the service fees that charged to the VIE by our WFOE under the relevant agreements was RMB185.0 million and RMB230.3 million, respectively. In the fiscal years ended June 30, 2021 and 2022, the total amount of the service fees that the VIE paid to our WFOE under the relevant agreements was RMB204.1 million and RMB239.6 million, respectively.</w:t>
      </w:r>
    </w:p>
    <w:p>
      <w:pPr>
        <w:ind w:left="800" w:right="640" w:hanging="421"/>
        <w:spacing w:after="0" w:line="218" w:lineRule="auto"/>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net consolidated balances among QuantaSing Group Limited, other subsidiaries, primary beneficiary of the VIE, and the VIE and its subsidiaries.</w:t>
      </w:r>
    </w:p>
    <w:p>
      <w:pPr>
        <w:ind w:left="800" w:hanging="421"/>
        <w:spacing w:after="0" w:line="218" w:lineRule="auto"/>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intercompany balances among QuantaSing Group Limited, other subsidiaries, primary beneficiary of the VIE, and the VIE and its subsidiaries. The balances as of June 30, 2021 were related to intercompany prepayment and payables for the technical consulting and related service charges under the contractual arrangements. The balances as of June 30, 2022 were related to the intercompany loan of RMB156.0 million provided by the VIE to the primary beneficiary of the VIE for cash management purposes.</w:t>
      </w:r>
    </w:p>
    <w:p>
      <w:pPr>
        <w:ind w:left="800" w:right="20" w:hanging="421"/>
        <w:spacing w:after="0" w:line="226" w:lineRule="auto"/>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intra-group investments and loans related cash activities among QuantaSing Group Limited, other subsidiaries, primary beneficiary of the VIE, and the VIE and its subsidiaries. During the fiscal year ended June 30, 2022, (i) QuantaSing Group Limited provided an aggregate of capital contribution of RMB47.1 million to other subsidiaries; (ii) other subsidiaries made a capital injection of RMB64.2 million to the primary beneficiary of the VIE; and (iii) and the VIE also provided an intercompany loan of RMB156.0 million to the primary beneficiary of the VIE for cash management purpose. These transactions were eliminated at the consolidation level.</w:t>
      </w:r>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320" w:top="452"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200025</wp:posOffset>
            </wp:positionV>
            <wp:extent cx="6893560" cy="4031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93560" cy="40316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presents certain key operating data as of/for the periods indicated.</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2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78"/>
        </w:trPr>
        <w:tc>
          <w:tcPr>
            <w:tcW w:w="64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gridSpan w:val="2"/>
            <w:vMerge w:val="restart"/>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2"/>
            <w:vMerge w:val="restart"/>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48"/>
        </w:trPr>
        <w:tc>
          <w:tcPr>
            <w:tcW w:w="6400" w:type="dxa"/>
            <w:vAlign w:val="bottom"/>
          </w:tcPr>
          <w:p>
            <w:pPr>
              <w:spacing w:after="0"/>
              <w:rPr>
                <w:sz w:val="4"/>
                <w:szCs w:val="4"/>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71"/>
              </w:rPr>
              <w:t>(in</w:t>
            </w:r>
          </w:p>
        </w:tc>
        <w:tc>
          <w:tcPr>
            <w:tcW w:w="880" w:type="dxa"/>
            <w:vAlign w:val="bottom"/>
            <w:tcBorders>
              <w:top w:val="single" w:sz="8" w:color="auto"/>
            </w:tcBorders>
          </w:tcPr>
          <w:p>
            <w:pPr>
              <w:jc w:val="right"/>
              <w:ind w:right="202"/>
              <w:spacing w:after="0" w:line="153"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Registered users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56.3</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9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registered users</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20" w:type="dxa"/>
            <w:vAlign w:val="bottom"/>
          </w:tcPr>
          <w:p>
            <w:pPr>
              <w:spacing w:after="0"/>
              <w:rPr>
                <w:sz w:val="19"/>
                <w:szCs w:val="19"/>
                <w:color w:val="auto"/>
              </w:rPr>
            </w:pPr>
          </w:p>
        </w:tc>
        <w:tc>
          <w:tcPr>
            <w:tcW w:w="8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b w:val="1"/>
                <w:bCs w:val="1"/>
                <w:color w:val="auto"/>
              </w:rPr>
              <w:t>Introductory course learners</w:t>
            </w:r>
            <w:r>
              <w:rPr>
                <w:rFonts w:ascii="Times New Roman" w:cs="Times New Roman" w:eastAsia="Times New Roman" w:hAnsi="Times New Roman"/>
                <w:sz w:val="24"/>
                <w:szCs w:val="24"/>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11.9</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26.6</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9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5"/>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introductory course learners</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20" w:type="dxa"/>
            <w:vAlign w:val="bottom"/>
          </w:tcPr>
          <w:p>
            <w:pPr>
              <w:spacing w:after="0"/>
              <w:rPr>
                <w:sz w:val="19"/>
                <w:szCs w:val="19"/>
                <w:color w:val="auto"/>
              </w:rPr>
            </w:pPr>
          </w:p>
        </w:tc>
        <w:tc>
          <w:tcPr>
            <w:tcW w:w="8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480" w:type="dxa"/>
            <w:vAlign w:val="bottom"/>
            <w:gridSpan w:val="4"/>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7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five</w:t>
            </w: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3480" w:type="dxa"/>
            <w:vAlign w:val="bottom"/>
            <w:gridSpan w:val="4"/>
            <w:vMerge w:val="continue"/>
          </w:tcPr>
          <w:p>
            <w:pPr>
              <w:spacing w:after="0"/>
              <w:rPr>
                <w:sz w:val="13"/>
                <w:szCs w:val="13"/>
                <w:color w:val="auto"/>
              </w:rPr>
            </w:pPr>
          </w:p>
        </w:tc>
        <w:tc>
          <w:tcPr>
            <w:tcW w:w="1720" w:type="dxa"/>
            <w:vAlign w:val="bottom"/>
            <w:gridSpan w:val="2"/>
          </w:tcPr>
          <w:p>
            <w:pPr>
              <w:jc w:val="center"/>
              <w:ind w:right="840"/>
              <w:spacing w:after="0" w:line="15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15"/>
        </w:trPr>
        <w:tc>
          <w:tcPr>
            <w:tcW w:w="4220" w:type="dxa"/>
            <w:vAlign w:val="bottom"/>
          </w:tcPr>
          <w:p>
            <w:pPr>
              <w:spacing w:after="0"/>
              <w:rPr>
                <w:sz w:val="9"/>
                <w:szCs w:val="9"/>
                <w:color w:val="auto"/>
              </w:rPr>
            </w:pPr>
          </w:p>
        </w:tc>
        <w:tc>
          <w:tcPr>
            <w:tcW w:w="760" w:type="dxa"/>
            <w:vAlign w:val="bottom"/>
            <w:tcBorders>
              <w:top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9"/>
                <w:szCs w:val="9"/>
                <w:color w:val="auto"/>
              </w:rPr>
            </w:pPr>
          </w:p>
        </w:tc>
        <w:tc>
          <w:tcPr>
            <w:tcW w:w="1720" w:type="dxa"/>
            <w:vAlign w:val="bottom"/>
            <w:gridSpan w:val="2"/>
          </w:tcPr>
          <w:p>
            <w:pPr>
              <w:jc w:val="center"/>
              <w:ind w:right="86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60" w:type="dxa"/>
            <w:vAlign w:val="bottom"/>
            <w:gridSpan w:val="4"/>
          </w:tcPr>
          <w:p>
            <w:pPr>
              <w:jc w:val="right"/>
              <w:ind w:right="1100"/>
              <w:spacing w:after="0" w:line="140"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Paying learners</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18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0.8</w:t>
            </w: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18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paying learners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Repeat purchase rate</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29.3%</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54.7%</w:t>
            </w: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60.0%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12.1%</w:t>
            </w:r>
          </w:p>
        </w:tc>
        <w:tc>
          <w:tcPr>
            <w:tcW w:w="17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00" w:hanging="421"/>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our introductory-level courses free of charges or, occasionally, for a nominal price, which was generally no more than RMB9.9 as of November 30, 2022.</w:t>
      </w:r>
    </w:p>
    <w:p>
      <w:pPr>
        <w:spacing w:after="0" w:line="3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60"/>
          </w:cols>
          <w:pgMar w:left="320" w:top="452" w:right="7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8"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the ADSs involves significant risks. You should carefully consider all of the information in this prospectus, including the risks and uncertainties described below, before making an investment in the ADSs. Any of the following risks could have a material adverse effect on our business, results of operations and financial condition. Additional risks and uncertainties not currently known to us or that we currently deem to be immaterial may also materially and adversely affect our business, prospects, results of operations and financial condition, and our ability to pay dividends. In any such case, the market price of the ADSs could decline, and you may lose all or part of your investment.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0" w:lineRule="exact"/>
        <w:rPr>
          <w:sz w:val="20"/>
          <w:szCs w:val="20"/>
          <w:color w:val="auto"/>
        </w:rPr>
      </w:pPr>
    </w:p>
    <w:p>
      <w:pPr>
        <w:ind w:left="200"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in providing adult personal interest learning services and have grown rapidly. Our historical operating and financial performance as well as growth rate, however, may not be indicative of our future performance. If we fail to manage our growth or implement our future business strategies effectively, the success of our business may be compromised.</w:t>
      </w:r>
    </w:p>
    <w:p>
      <w:pPr>
        <w:spacing w:after="0" w:line="68" w:lineRule="exact"/>
        <w:rPr>
          <w:sz w:val="20"/>
          <w:szCs w:val="20"/>
          <w:color w:val="auto"/>
        </w:rPr>
      </w:pPr>
    </w:p>
    <w:p>
      <w:pPr>
        <w:ind w:left="200" w:right="20" w:firstLine="434"/>
        <w:spacing w:after="0" w:line="248" w:lineRule="auto"/>
        <w:rPr>
          <w:sz w:val="20"/>
          <w:szCs w:val="20"/>
          <w:color w:val="auto"/>
        </w:rPr>
      </w:pPr>
      <w:r>
        <w:rPr>
          <w:rFonts w:ascii="Times New Roman" w:cs="Times New Roman" w:eastAsia="Times New Roman" w:hAnsi="Times New Roman"/>
          <w:sz w:val="18"/>
          <w:szCs w:val="18"/>
          <w:color w:val="auto"/>
        </w:rPr>
        <w:t>We began to offer our financial literacy learning services in July 2019, which accounted for 88.8%, 80.2% and 71.0% of our total revenues in the fiscal years ended June 30, 2021 and 2022 and the three months ended September 30, 2022, respectively. In August 2021, we launched additional courses for other personal interests, which accounted for 6.8% and 17.7% of our total revenues in the fiscal year ended June 30, 2022 and the three months ended September 30, 2022, respectively. We are continuously initiating new course offerings to further diversify and expand our business in online adult learning market for personal interest courses. As such, our limited history under the current business model may not serve as an adequate basis for evaluating our prospect and future operating and financial results, including, among others, our revenue growth, operating cash flows, operating margins, conversion and repeat purchase rate. For instance, we have experienced significant growth in terms of the number of registered users and paying learners since the inception of our business. However, our progressive online course mode is relatively new and subject to many uncertainties, such as the attractiveness of the course mode, methods to project market demand, measurable industry standards, and monetization opportunities. Additionally, we have experienced, and may continue to experience, fluctuations in our revenues from various subjects of courses we offer, in part, due to the changes in allocation of our marketing and corporate resources among such courses in an effort to diversify our business. Furthermore, we have recorded, and may continue to record, disparate repeat purchase rates for different subjects of courses, depending on their developmental stages. We have had higher repeat purchase rate for financial literacy courses, which are well-established, compared to other personal interest courses, which are generally in a ramp-up stage, primarily due to the market acceptance of the relevant courses and the efficiency level of our targeted sales and marketing activities. As we continue to diversify our course offerings and allocate our marketing and corporate resources among various subjects of courses, especially other personal interest courses, the dollar amount and/or proportion of such resources devoted to financial literacy courses may continue to decline, which may negatively affect the revenues generated from our financial literacy courses and its growth rate.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also be adversely affected.</w:t>
      </w:r>
    </w:p>
    <w:p>
      <w:pPr>
        <w:spacing w:after="0" w:line="190" w:lineRule="exact"/>
        <w:rPr>
          <w:sz w:val="20"/>
          <w:szCs w:val="20"/>
          <w:color w:val="auto"/>
        </w:rPr>
      </w:pPr>
    </w:p>
    <w:p>
      <w:pPr>
        <w:ind w:left="200" w:right="60" w:firstLine="434"/>
        <w:spacing w:after="0" w:line="252" w:lineRule="auto"/>
        <w:rPr>
          <w:sz w:val="20"/>
          <w:szCs w:val="20"/>
          <w:color w:val="auto"/>
        </w:rPr>
      </w:pPr>
      <w:r>
        <w:rPr>
          <w:rFonts w:ascii="Times New Roman" w:cs="Times New Roman" w:eastAsia="Times New Roman" w:hAnsi="Times New Roman"/>
          <w:sz w:val="18"/>
          <w:szCs w:val="18"/>
          <w:color w:val="auto"/>
        </w:rPr>
        <w:t>The online adult learning market and the interests of the general public have also been evolving rapidly in recent years. We have encountered, and may continue to encounter, risks, challenges and uncertainties associated with operating an online adult learning market, such as expanding the learner base, increasing the number of paying learners and their spending, ensuring the effectiveness of our sales and marketing efforts, improving and expanding our offerings, addressing regulatory compliance and uncertainty, engaging and retaining high-quality staff, and building and managing reliable and secure IT systems and infrastructure. If we do not manage these risks successfully, our operating and financial results may suffer and differ materially from our historical performance and expectations.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2"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attract and retain learners, particularly paying learners, or increase their spending on our platforms, our business, results of operations, financial condition and future prospects will be materially and adversely affected.</w:t>
      </w:r>
    </w:p>
    <w:p>
      <w:pPr>
        <w:spacing w:after="0" w:line="53" w:lineRule="exact"/>
        <w:rPr>
          <w:sz w:val="20"/>
          <w:szCs w:val="20"/>
          <w:color w:val="auto"/>
        </w:rPr>
      </w:pPr>
    </w:p>
    <w:p>
      <w:pPr>
        <w:ind w:left="200" w:right="120" w:firstLine="434"/>
        <w:spacing w:after="0" w:line="252" w:lineRule="auto"/>
        <w:rPr>
          <w:sz w:val="20"/>
          <w:szCs w:val="20"/>
          <w:color w:val="auto"/>
        </w:rPr>
      </w:pPr>
      <w:r>
        <w:rPr>
          <w:rFonts w:ascii="Times New Roman" w:cs="Times New Roman" w:eastAsia="Times New Roman" w:hAnsi="Times New Roman"/>
          <w:sz w:val="18"/>
          <w:szCs w:val="18"/>
          <w:color w:val="auto"/>
        </w:rPr>
        <w:t>We currently generate revenue primarily from the course fees paid by learners on our platforms. The success of our business depends heavily on the number of paying learners and the amount of fees that our learners are willing to pay, and the effectiveness of converting introductory course learners to paying learners over time. Our ability to continue to attract learners to attend and pay for our paid online courses and other offerings as well as to increase their spending on our platforms is critical to the continued success and growth of our business. If our learners do not purchase our premium courses or other paid services or products we may offer, our business, results of operations and financial condition may be materially and adversely affected.</w:t>
      </w:r>
    </w:p>
    <w:p>
      <w:pPr>
        <w:spacing w:after="0" w:line="185"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Our ability to attract and retain learners in turn will depend on several factors particular to our learner engagement and retention capabilities, including, but not limited to, our ability to market our business and acquire new users and learners, the effectiveness of our progressive course made, the conversion of learners from introducing courses into paying learners, our ability to maintain the quality of the learning experience, the level of engagement of our live lectures, and the performance and rigor of our instructors and tutors. It also depends on our ability to develop and enhance the quality of our course offerings and other paid offerings to meet the changes in the online adult learning market and the evolving learner demands. However, we may not always be able to meet our learners’ expectations in terms of the quality and benefits of our offerings due to a variety of reasons, many of which are beyond our control. We may face learner dissatisfaction due to our learners’ perceptions of our failure to help them enhance their knowledge, achieve their learning goals, and their overall dissatisfaction over our offerings, instructors and tutors. We may also face learners’ reduced interest in financial literacy and other personal interest courses or other fields that our courses are designed for. In addition, we may also face other challenges such as (1) our ability to effectively market our offerings, enhance our brand awareness, and compete with comparable offerings; (2) negative publicity or perceptions regarding us or online learning services in general; (3) the emergence of alternative course modes; (4) increasing market competition, including price reductions by competitors that we are unable or unwilling to match; and (5) adverse changes in government policies or general economic conditions.</w:t>
      </w:r>
    </w:p>
    <w:p>
      <w:pPr>
        <w:spacing w:after="0" w:line="187"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If one or more of these factors reduce the market demand for our offerings, especially our premium courses, our user base and, in particular, our paying learner base could be negatively affected, and the costs associated with customer acquisition and retention could increase. These developments could also harm our brand and reputation, which would negatively impact our ability to expand our business. If we are unable to continue to attract learners to pay for our courses and increase their spending on our course offerings, our revenue may decline and our growth prospects may be adversely affected. In addition, failure to maintain and increase our learner base could also affect our marketing services, which depends in part on the strength of our learner base. As a result, our business, results of operations and financial condition may be materially and adversely affected.</w:t>
      </w:r>
    </w:p>
    <w:p>
      <w:pPr>
        <w:spacing w:after="0" w:line="272" w:lineRule="exact"/>
        <w:rPr>
          <w:sz w:val="20"/>
          <w:szCs w:val="20"/>
          <w:color w:val="auto"/>
        </w:rPr>
      </w:pPr>
    </w:p>
    <w:p>
      <w:pPr>
        <w:jc w:val="both"/>
        <w:ind w:left="200"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interests and needs of the general public in the field of personal development is changing rapidly. If we fail to adapt and expand our course offerings to effectively and timely address the change of market demands, we may fail to maintain or increase our existing learner base or attract new learners and become less competitive.</w:t>
      </w:r>
    </w:p>
    <w:p>
      <w:pPr>
        <w:spacing w:after="0" w:line="68"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Our course offerings primarily focus on courses relating to financial literacy and selected subjects on personal interests, such as short video production. Many of our learners attend and purchase our courses for personal interest and development needs such as personal wealth management, personal well-being and creative pursuits. Such needs may change from time to time due to various reasons, including, but not limited to, the shift of interests and trending topics. To attract new learners and increase revenue from existing learners, we need to continuously expand and adjust our course offerings to meet their evolving interests and needs. As such, our future growth and profitability depend in part on our ability to develop courses in response to our learners’ interests and demands in new course subjects. However, we may not have adequate financial or technological resources to respond to such changes and develop content efficiently to satisfy the demands for these new course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320" w:top="452"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20"/>
        <w:spacing w:after="0" w:line="250" w:lineRule="auto"/>
        <w:rPr>
          <w:sz w:val="20"/>
          <w:szCs w:val="20"/>
          <w:color w:val="auto"/>
        </w:rPr>
      </w:pPr>
      <w:r>
        <w:rPr>
          <w:rFonts w:ascii="Times New Roman" w:cs="Times New Roman" w:eastAsia="Times New Roman" w:hAnsi="Times New Roman"/>
          <w:sz w:val="18"/>
          <w:szCs w:val="18"/>
          <w:color w:val="auto"/>
        </w:rPr>
        <w:t>subjects. Our lack of familiarity with new course subjects may make it more difficult for us to keep pace with the evolving customer demands and preferences. If the learners are no longer interested in the topics covered by our current courses, or if we are unable to develop content that addresses learners’ evolving needs or to enhance and improve our platforms in a timely manner, we may not be able to maintain or increase market acceptance of our platforms. In addition, there may be existing market leaders in the new course subjects that we intend to expand our courses into. These companies may compete more effectively than us by leveraging their deeper industry experience, stronger brand recognition, and greater funding on content development. If we fail to maintain adequate resources or compete effectively with our competitors, our business could be harmed. Furthermore, if we fail to comply with laws and regulations applicable to these new course offerings, our reputation, business, results of operations and financial condition may be adversely affected.</w:t>
      </w:r>
    </w:p>
    <w:p>
      <w:pPr>
        <w:spacing w:after="0" w:line="292" w:lineRule="exact"/>
        <w:rPr>
          <w:sz w:val="20"/>
          <w:szCs w:val="20"/>
          <w:color w:val="auto"/>
        </w:rPr>
      </w:pPr>
    </w:p>
    <w:p>
      <w:pPr>
        <w:ind w:left="20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service offerings to enterprise customers. We cannot assure you that our new business initiatives and monetization strategies will be successfully implemented.</w:t>
      </w:r>
    </w:p>
    <w:p>
      <w:pPr>
        <w:spacing w:after="0" w:line="53"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We continue to expand our services and products to grow our business. In February 2020, we launched our marketing services to enterprise customers. In June 2022, we launched our enterprise talent management services. We have a limited track record or experience in generating revenue from such new initiatives, which may adversely affect our prospects and ability to compete with the existing market players in the relevant fields. The endeavors to offer new services, contents and products, which are usually costly and time-consuming, could disrupt our ongoing business, divert our management resources, and require us to make significant investments in establishing and maintaining cooperative relations, pursuing R&amp;D projects, and furthering sales and marketing efforts, all of which may not be successful. We may also have to optimize our employee structure to adapt to the evolving market and business conditions, which may adversely affect our business, results of operations, financial condition and reputation. We cannot assure you that any of such new business initiatives will achieve market acceptance or generate sufficient revenues in a timely manner, or at all, to offset the costs and expenses incurred prior to their launch. We also cannot assure you that any such initiatives, will generate a desired level of profit or be compatible with our other offerings. If we are unsuccessful in the exploration of additional services due to financial constraints, failure to attract qualified personnel or other reasons, we may not be able to maintain or increase our revenue or recover any associated costs, expenses and expenditures, and our business, results of operations and financial condition could be adversely affected.</w:t>
      </w:r>
    </w:p>
    <w:p>
      <w:pPr>
        <w:spacing w:after="0" w:line="189"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To seize the rising demands in oversea markets for online learning services, we are also exploring opportunities to expand into our service offering into overseas markets where we have limited experience in developing and operating overseas business. The investment and additional resources required to establish operations and manage growth in other countries may not produce desired levels of revenue or profitability, or at all. In addition, we may in the future introduce new services and products to further diversify our revenue streams, including services with which we have little or no prior operating experience. These activities may also require significant capital expenditures and investment of valuable management and financial resources, and our growth will continue to place significant demands on such resources. We cannot assure you that we will be able to effectively manage any future growth in an efficient, cost-effective and timely manner, or at all. If we do not effectively manage the growth of our new business and strategies, our business, results of operations and financial condition could be adversely affected.</w:t>
      </w:r>
    </w:p>
    <w:p>
      <w:pPr>
        <w:spacing w:after="0" w:line="292" w:lineRule="exact"/>
        <w:rPr>
          <w:sz w:val="20"/>
          <w:szCs w:val="20"/>
          <w:color w:val="auto"/>
        </w:rPr>
      </w:pPr>
    </w:p>
    <w:p>
      <w:pPr>
        <w:jc w:val="both"/>
        <w:ind w:left="200" w:right="7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face risks and uncertainties with respect to the licensing requirement for our business. Any lack of or failure to maintain requisite approvals, licenses or permits applicable to us may have a material and adverse impact on our business, results of operations and financial condition.</w:t>
      </w:r>
    </w:p>
    <w:p>
      <w:pPr>
        <w:spacing w:after="0" w:line="68" w:lineRule="exact"/>
        <w:rPr>
          <w:sz w:val="20"/>
          <w:szCs w:val="20"/>
          <w:color w:val="auto"/>
        </w:rPr>
      </w:pPr>
    </w:p>
    <w:p>
      <w:pPr>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We are subject to government regulations for our operations in China. In particular, the online learning and live streaming business in China are highly regulated by the PRC government. As of the date of this prospectus, as advised by our PRC counsel, CM Law Firm, our WFOE and the affiliated entities have obtained the licenses, permits and registrations from the PRC government authorities necessary for our business operations in China, including, among others, the Value-added Telecommunications Business Operating License for internet</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2"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380"/>
        <w:spacing w:after="0" w:line="261" w:lineRule="auto"/>
        <w:rPr>
          <w:sz w:val="20"/>
          <w:szCs w:val="20"/>
          <w:color w:val="auto"/>
        </w:rPr>
      </w:pPr>
      <w:r>
        <w:rPr>
          <w:rFonts w:ascii="Times New Roman" w:cs="Times New Roman" w:eastAsia="Times New Roman" w:hAnsi="Times New Roman"/>
          <w:sz w:val="18"/>
          <w:szCs w:val="18"/>
          <w:color w:val="auto"/>
        </w:rPr>
        <w:t>information service (the “ICP License”), the Permit for Production and Operation of Radio and Television Programs, and the Publication Operation License, except for the License for Online Transmission of Audio-Visual Program (the “Audio-Visual License”) for offering certain courses in live streaming or audio-visual contents.</w:t>
      </w:r>
    </w:p>
    <w:p>
      <w:pPr>
        <w:spacing w:after="0" w:line="176" w:lineRule="exact"/>
        <w:rPr>
          <w:sz w:val="20"/>
          <w:szCs w:val="20"/>
          <w:color w:val="auto"/>
        </w:rPr>
      </w:pPr>
    </w:p>
    <w:p>
      <w:pPr>
        <w:ind w:left="200" w:right="60" w:firstLine="434"/>
        <w:spacing w:after="0" w:line="266" w:lineRule="auto"/>
        <w:rPr>
          <w:sz w:val="20"/>
          <w:szCs w:val="20"/>
          <w:color w:val="auto"/>
        </w:rPr>
      </w:pPr>
      <w:r>
        <w:rPr>
          <w:rFonts w:ascii="Times New Roman" w:cs="Times New Roman" w:eastAsia="Times New Roman" w:hAnsi="Times New Roman"/>
          <w:sz w:val="17"/>
          <w:szCs w:val="17"/>
          <w:color w:val="auto"/>
        </w:rPr>
        <w:t>According to relevant PRC laws and regulations, no entities or individuals may provide internet audio-visual program services, which include making and editing of audio-visual programs concerning educational content and broadcasting such content to the general public online, without the Audio-Visual License, issued by the State Administration of Press, Publication, Radio, Film and Television (the “SAPPRFT”) (currently known as National Radio and Television Administration), or its local bureaus, and only state-owned or state-controlled entities are eligible to apply for an Audio-Visual License. See “Regulation — Regulations on Online Transmission of Audio-Visual Programs.” We have not obtained the Audio-Visual License for offering certain courses in live streaming format and video recordings of live streaming courses and certain other audio-video contents such as short, pre-recorded videos and audio podcasts through our platforms to our users. We are, however, not eligible to apply for such license since we are not a state-owned or state-controlled entity. As of the date of this prospectus, we have not been subject to any penalties imposed by, or any investigations initiated by, the relevant government authorities due to our provision of internet audio-visual contents through our platforms without any requisite license, but we may be subject to penalties, fines, legal sanctions or an order to suspend the provision of our relevant content in the future.</w:t>
      </w:r>
    </w:p>
    <w:p>
      <w:pPr>
        <w:spacing w:after="0" w:line="174" w:lineRule="exact"/>
        <w:rPr>
          <w:sz w:val="20"/>
          <w:szCs w:val="20"/>
          <w:color w:val="auto"/>
        </w:rPr>
      </w:pPr>
    </w:p>
    <w:p>
      <w:pPr>
        <w:ind w:left="200" w:right="40" w:firstLine="434"/>
        <w:spacing w:after="0" w:line="249" w:lineRule="auto"/>
        <w:rPr>
          <w:sz w:val="20"/>
          <w:szCs w:val="20"/>
          <w:color w:val="auto"/>
        </w:rPr>
      </w:pPr>
      <w:r>
        <w:rPr>
          <w:rFonts w:ascii="Times New Roman" w:cs="Times New Roman" w:eastAsia="Times New Roman" w:hAnsi="Times New Roman"/>
          <w:sz w:val="18"/>
          <w:szCs w:val="18"/>
          <w:color w:val="auto"/>
        </w:rPr>
        <w:t>We cannot assure you that local PRC authorities will not adopt different enforcement practice or will not issue more explicit interpretation and rules or promulgate new laws and regulations from time to time to further regulate the online learning industry, which may subject us to additional licensing requirements. We may also be required to apply for and obtain additional licenses or permits for our operations in China as the interpretation and implementation of current PRC laws and regulations continue to evolve. We may be deemed to provide certain services or conduct certain activities and be subject to certain licenses, approvals, permits, registrations and filings due to the lack of official interpretations of the relevant terms under internet related PRC regulations and laws. For instance, due to the ambiguity of the definition of “online publishing service” under the PRC laws and regulations, the online distribution of content, including our audio-visual contents and other course materials, through our platforms, may be regarded as an “online publishing service” and, therefore, we or the affiliated entities may be required to obtain an Online Publishing Service License. Failure to obtain such licenses may subject us to fines, confiscation of relevant gains, suspension of the operations of our online platforms and other liabilities. As of the date of this prospectus, we have not been required by the relevant regulatory authorities to obtain such license, nor have we been subject to any penalties imposed by, or any investigations initiated by, the relevant government authorities for failure to obtain such license. However, we cannot assure that we or the affiliated entities will not be required to obtain such license or subject to penalties, fines, legal sanctions or an order to suspend the relevant services in the future.</w:t>
      </w:r>
    </w:p>
    <w:p>
      <w:pPr>
        <w:spacing w:after="0" w:line="187"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The interpretation or implementation of existing laws and regulations are subject to changes from time to time, and the implementation of new laws and regulations is subject to uncertainties. If government authorities determine that our operations in China fall within the scope of business operations that require additional licenses, permits or approvals, we or the affiliated entities may not be able to obtain such licenses, permits or approvals in a timely manner or on commercially reasonable terms or at all, and failure to obtain such licenses, permits or approvals may subject us to fines, legal sanctions or an order to suspend our related operations. Moreover, we or the affiliated entities may fail to renew or update any of our existing licenses and permits in a timely manner and on commercially reasonable terms, or at all, which could materially and adversely affect our business, results of operations and financial condition. Government authorities may also from time to time issue new laws, rules and regulations and enhance enforcement of existing laws, rules and regulations, which could require us to obtain new and additional licenses, permits or approvals. Considerable uncertainties could exist with respect to the interpretation and implementation of existing and future laws and regulations governing our business activities. If we or the affiliated entities are not able to comply with the applicable legal requirements, we may be subject to fines, confiscation of the gains derived from non-compliant operations, or suspension of</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52"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non-compliant operations, any of which may materially and adversely affect our business, results of operations and financial condition. Moreover, as we expand our business scope and explore different business initiatives, the business measures we have adopted or may adopt in the future may be challenged under PRC laws and regulations, and we or the affiliated entities may be required to apply for and obtain additional licenses, permits or approvals, make additional registrations, update our registrations or expand the scope of our permits and approvals. We cannot assure you that we or the affiliated entities will be able to meet these requirements in a timely manner, or at all.</w:t>
      </w:r>
    </w:p>
    <w:p>
      <w:pPr>
        <w:spacing w:after="0" w:line="288" w:lineRule="exact"/>
        <w:rPr>
          <w:sz w:val="20"/>
          <w:szCs w:val="20"/>
          <w:color w:val="auto"/>
        </w:rPr>
      </w:pPr>
    </w:p>
    <w:p>
      <w:pPr>
        <w:ind w:left="200"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 of our brand, and if we fail to maintain and enhance our brand recognition, we may face difficulty in expanding our services and attracting users and learners, and in turn our reputation, business, results of operations and financial condition may be harmed.</w:t>
      </w:r>
    </w:p>
    <w:p>
      <w:pPr>
        <w:spacing w:after="0" w:line="68"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We believe that market awareness of our brand has contributed, in part, to the success of our business. We currently operate our online learning services mainly under the brand of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xml:space="preserve">.” We rebranded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Kuaicai</w:t>
      </w:r>
      <w:r>
        <w:rPr>
          <w:rFonts w:ascii="Times New Roman" w:cs="Times New Roman" w:eastAsia="Times New Roman" w:hAnsi="Times New Roman"/>
          <w:sz w:val="18"/>
          <w:szCs w:val="18"/>
          <w:color w:val="auto"/>
        </w:rPr>
        <w:t xml:space="preserve"> in January 2021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Bancai</w:t>
      </w:r>
      <w:r>
        <w:rPr>
          <w:rFonts w:ascii="Times New Roman" w:cs="Times New Roman" w:eastAsia="Times New Roman" w:hAnsi="Times New Roman"/>
          <w:sz w:val="18"/>
          <w:szCs w:val="18"/>
          <w:color w:val="auto"/>
        </w:rPr>
        <w:t xml:space="preserve"> in June 2022. Maintaining and enhancing our brand is critical to our efforts to increase the market awareness of our services and attract users and learners, which are in turn critical to our business growth. Our ability to maintain and enhance brand recognition and reputation depends primarily on the continued marketing activities and the increasing recognition of our course offerings by the public. Negative publicity about us and our business, brands (including the legacy brands), shareholders, affiliates, directors, officers, instructors, tutors and other employees, and the industry in which we operate can harm our brand recognition and reputation. In recent years, we have devoted significant resources to our brand promotion efforts, hiring and training our teaching staff and improving our course offerings, but we cannot assure you that these efforts will continue to be successful. If we are unable to further enhance our brand recognition, or if our brand image is negatively impacted by any negative publicity, regardless of its veracity, we may not be able to expand our services or attract new learners successfully or efficiently, and our business, results of operations and financial condition may be materially and adversely affected.</w:t>
      </w:r>
    </w:p>
    <w:p>
      <w:pPr>
        <w:spacing w:after="0" w:line="293" w:lineRule="exact"/>
        <w:rPr>
          <w:sz w:val="20"/>
          <w:szCs w:val="20"/>
          <w:color w:val="auto"/>
        </w:rPr>
      </w:pPr>
    </w:p>
    <w:p>
      <w:pPr>
        <w:ind w:left="20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negative publicity concerning us or our business, brands, shareholders, affiliates, directors, officers, instructors, tutors and other employees, the industry in which we operate regardless of its accuracy.</w:t>
      </w:r>
    </w:p>
    <w:p>
      <w:pPr>
        <w:spacing w:after="0" w:line="53"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Negative publicity about us and our business, brands (including the legacy brands), shareholders, affiliates, directors, officers, instructors, tutors and other employees, the industry in which we operate can harm our brand recognition and reputation. For instance, we have, from time to time, been subject to online complaints by alleged users or third parties claiming that our paid courses were overpriced and not useful, or claiming that the contents on our platforms and the description about our services are invalid and misleading, or against our current or legacy brands. We have also been subject to claims of fraudulent activities for the provision of our online learning services, which could harm consumer interests. Such negative publicity concerning the foregoing could be related to a wide variety of matters, including but not limited to:</w:t>
      </w:r>
    </w:p>
    <w:p>
      <w:pPr>
        <w:spacing w:after="0" w:line="92" w:lineRule="exact"/>
        <w:rPr>
          <w:sz w:val="20"/>
          <w:szCs w:val="20"/>
          <w:color w:val="auto"/>
        </w:rPr>
      </w:pPr>
    </w:p>
    <w:p>
      <w:pPr>
        <w:ind w:left="1160" w:right="120" w:hanging="429"/>
        <w:spacing w:after="0" w:line="275"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misconduct or other improper activities committed by our instructors, tutors and other staff, including misrepresentation made by our employees to learners during sales and marketing activities, and other fraudulent activities to inflate or distort our offerings;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or malicious allegations or rumors about us or our instructors, tutors, directors, shareholders, affiliates, officers, and other staff;</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by our learners about our sales and marketing activities;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disputes of course fees between us and our learners or administrative penalties;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confidentiality, in particular that of sensitive personal information;</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employment-related claims;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regulatory investigations or penalties resulting from our failure to comply with applicable laws and regulations.</w:t>
      </w:r>
    </w:p>
    <w:p>
      <w:pPr>
        <w:spacing w:after="0" w:line="1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320" w:top="452"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340" w:firstLine="434"/>
        <w:spacing w:after="0" w:line="261" w:lineRule="auto"/>
        <w:rPr>
          <w:sz w:val="20"/>
          <w:szCs w:val="20"/>
          <w:color w:val="auto"/>
        </w:rPr>
      </w:pPr>
      <w:r>
        <w:rPr>
          <w:rFonts w:ascii="Times New Roman" w:cs="Times New Roman" w:eastAsia="Times New Roman" w:hAnsi="Times New Roman"/>
          <w:sz w:val="18"/>
          <w:szCs w:val="18"/>
          <w:color w:val="auto"/>
        </w:rPr>
        <w:t>In connection with our marketing services to enterprise customers, we are also subject to the risk that users and third parties may attribute any fraudulent and inappropriate contents from enterprise customers to us, and direct their claims and complaints against us, which will have a material adverse impact on our reputation and business.</w:t>
      </w:r>
    </w:p>
    <w:p>
      <w:pPr>
        <w:spacing w:after="0" w:line="176" w:lineRule="exact"/>
        <w:rPr>
          <w:sz w:val="20"/>
          <w:szCs w:val="20"/>
          <w:color w:val="auto"/>
        </w:rPr>
      </w:pPr>
    </w:p>
    <w:p>
      <w:pPr>
        <w:ind w:left="200" w:right="240" w:firstLine="434"/>
        <w:spacing w:after="0" w:line="251" w:lineRule="auto"/>
        <w:rPr>
          <w:sz w:val="20"/>
          <w:szCs w:val="20"/>
          <w:color w:val="auto"/>
        </w:rPr>
      </w:pPr>
      <w:r>
        <w:rPr>
          <w:rFonts w:ascii="Times New Roman" w:cs="Times New Roman" w:eastAsia="Times New Roman" w:hAnsi="Times New Roman"/>
          <w:sz w:val="18"/>
          <w:szCs w:val="18"/>
          <w:color w:val="auto"/>
        </w:rPr>
        <w:t>In addition to traditional media, there has been an increasing use of social media and similar tools in China, including instant messaging applications, social media websites and other forms of internet-based communications that provide individuals with access to a broad audience of consumers and other interested persons. The availability of information on instant messaging applications and social media is virtually immediate, without affording us an opportunity for redress or correction. The opportunity for dissemination of information, including inaccurate information, is seemingly limitless and readily available. Information concerning us, our shareholders, affiliates, directors, officers, instructors, tutors and other staff, may be posted on such platforms at any time. The risks associated with any such negative publicity or incorrect information cannot be completely eliminated or mitigated and may materially harm our brand, reputation, business, results of operations and financial condition.</w:t>
      </w:r>
    </w:p>
    <w:p>
      <w:pPr>
        <w:spacing w:after="0" w:line="289" w:lineRule="exact"/>
        <w:rPr>
          <w:sz w:val="20"/>
          <w:szCs w:val="20"/>
          <w:color w:val="auto"/>
        </w:rPr>
      </w:pPr>
    </w:p>
    <w:p>
      <w:pPr>
        <w:ind w:left="20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intensive industry competition. If we fail to compete effectively, it could divert learners to our competitors, lead to pricing pressure and loss of market shares, which could materially and adversely affect our business, results of operations and financial condition.</w:t>
      </w:r>
    </w:p>
    <w:p>
      <w:pPr>
        <w:spacing w:after="0" w:line="53"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The online adult learning market in China is competitive, and we expect competition in this sector to persist and intensify. We face competition from other market participants in each part of our service offerings, including both individual online learning services and enterprise services. Some of our current or future competitors may have longer operating history, greater brand recognition, or greater financial, technical or marketing resources than we do. We compete with these industry participants across a range of dimensions, including, among others, high-quality instructors, technology infrastructure, data analytics capability, quality of services and learning experience, brand recognition, and scope of course offerings. Our competitors may adopt similar curriculums and marketing approaches, with different pricing and service packages that may have greater appeal than our offerings. In addition, some of our competitors may have more resources than we do and may be able to devote greater resources than we can to the development and promotion of their services. They may also respond more quickly than we can to the changes in learners’ preferences, market needs or new technologies. Therefore, we may have to reduce course fees or increase spending in response to such competition, which may impair our business, results of operations and financial condition. If we are unable to successfully compete for learners, maintain or increase the level of course fees, attract and retain competent instructors or other key personnel, or maintain the quality of our online learning services in a cost-effective manner, we may lose market shares to our competitors and our profitability and future prospects may also be materially and adversely affected.</w:t>
      </w:r>
    </w:p>
    <w:p>
      <w:pPr>
        <w:spacing w:after="0" w:line="291" w:lineRule="exact"/>
        <w:rPr>
          <w:sz w:val="20"/>
          <w:szCs w:val="20"/>
          <w:color w:val="auto"/>
        </w:rPr>
      </w:pPr>
    </w:p>
    <w:p>
      <w:pPr>
        <w:ind w:left="200"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improve or maintain the efficiency of our customer acquisition efforts, our business, results of operations and financial condition may be materially and adversely affected.</w:t>
      </w:r>
    </w:p>
    <w:p>
      <w:pPr>
        <w:spacing w:after="0" w:line="53" w:lineRule="exact"/>
        <w:rPr>
          <w:sz w:val="20"/>
          <w:szCs w:val="20"/>
          <w:color w:val="auto"/>
        </w:rPr>
      </w:pPr>
    </w:p>
    <w:p>
      <w:pPr>
        <w:ind w:left="200" w:right="100" w:firstLine="434"/>
        <w:spacing w:after="0" w:line="266" w:lineRule="auto"/>
        <w:rPr>
          <w:sz w:val="20"/>
          <w:szCs w:val="20"/>
          <w:color w:val="auto"/>
        </w:rPr>
      </w:pPr>
      <w:r>
        <w:rPr>
          <w:rFonts w:ascii="Times New Roman" w:cs="Times New Roman" w:eastAsia="Times New Roman" w:hAnsi="Times New Roman"/>
          <w:sz w:val="17"/>
          <w:szCs w:val="17"/>
          <w:color w:val="auto"/>
        </w:rPr>
        <w:t>Our business success and expansion depend significantly on our ability to continue to grow our learner base. Customer acquisition in the online adult learning market is a sophisticated process that requires substantial resources and careful planning. We acquire new learners primarily through certain limited marketing channels, including popular live streaming mobile apps and/or social media such as Douyin, Weixin and Kuaishou. The outcome of our customer acquisition efforts depends on a number of factors, such as the efficacy of our sales and marketing activities, the cost incurred in customer acquisition, the competitiveness of our course offerings, and external market forces, some of which may be beyond our control. We have incurred significant sales and marketing expenses historically and we expect such trend will continue. For the fiscal years ended June 30, 2021 and 2022, we incurred sales and marketing expenses of RMB1,694.9 million and RMB2,254.5 million (US$316.9 million), representing 96.3% and 78.6% of our total revenues during the same periods, respectively. For the three months ended September 30, 2021 and 2022, we incurred sales and marketing expenses of RMB670.2 million and RMB581.2 million (US$81.7 million), representing 90.1% and 88.1% of our total</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52"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64" w:lineRule="auto"/>
        <w:rPr>
          <w:sz w:val="20"/>
          <w:szCs w:val="20"/>
          <w:color w:val="auto"/>
        </w:rPr>
      </w:pPr>
      <w:r>
        <w:rPr>
          <w:rFonts w:ascii="Times New Roman" w:cs="Times New Roman" w:eastAsia="Times New Roman" w:hAnsi="Times New Roman"/>
          <w:sz w:val="17"/>
          <w:szCs w:val="17"/>
          <w:color w:val="auto"/>
        </w:rPr>
        <w:t>revenues during the same periods, respectively. Our sales and marketing expenses primarily comprise marketing and advertising fees paid to third-party online social media to attract new users and promote our brands, and we expect such expenditures to continue to account for a significant portion of the operating expenses in the future. Beginning in the three months ended September 30, 2022, we have allocated an increasing portion of marketing and corporate resources to the promotion of various subjects of courses, in addition to our flagship financial literacy courses, in an effort to diversify our business, and as a result, we have experienced, and may continue to experience, fluctuations in revenue generated from those courses. As such, the cost-effectiveness of our sales and marketing depends heavily on our ability to enhance returns from such marketing channels, especially for different subjects of courses. However, as we continue to diversify our business, we have experienced, and may continue to experience, lower returns from our sales and marketing activities targeted at various subjects of courses in the ramp-up stage, as compared to our flagship financial literacy courses, which are well-established, and as a result, we cannot assure that such expenditures will bring the desired benefits to our business as a whole and generate sufficient revenues to offset the costs and expenses incurred in a timely manner or at all. In addition, we cannot assure you that our sales and marketing activities, including those through our marketing channels, will be effective to grow our user or learner base as we anticipate, which will materially and adversely affect our results of operations and future prospects. To the extent that we fail to leverage such channels, or if there is any change, disruption or discontinuity in our marketing channels, our business, results of operations and financial condition may be materially and adversely affected.</w:t>
      </w:r>
    </w:p>
    <w:p>
      <w:pPr>
        <w:spacing w:after="0" w:line="183"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In addition, the sales and marketing approaches, technologies and tools used in China’s online adult learning market are evolving, which requires us to enhance our marketing and branding approaches and experiment with new methods and technology to keep pace with industry developments and learners’ preferences. Failure to refine our existing sales and marketing approaches or to incorporate new approaches in a cost-effective manner may affect our revenue, operating margins and other financial indicators, as well as our market position and growth potentials.</w:t>
      </w:r>
    </w:p>
    <w:p>
      <w:pPr>
        <w:spacing w:after="0" w:line="181" w:lineRule="exact"/>
        <w:rPr>
          <w:sz w:val="20"/>
          <w:szCs w:val="20"/>
          <w:color w:val="auto"/>
        </w:rPr>
      </w:pPr>
    </w:p>
    <w:p>
      <w:pPr>
        <w:ind w:left="200" w:right="140" w:firstLine="434"/>
        <w:spacing w:after="0" w:line="252" w:lineRule="auto"/>
        <w:rPr>
          <w:sz w:val="20"/>
          <w:szCs w:val="20"/>
          <w:color w:val="auto"/>
        </w:rPr>
      </w:pPr>
      <w:r>
        <w:rPr>
          <w:rFonts w:ascii="Times New Roman" w:cs="Times New Roman" w:eastAsia="Times New Roman" w:hAnsi="Times New Roman"/>
          <w:sz w:val="18"/>
          <w:szCs w:val="18"/>
          <w:color w:val="auto"/>
        </w:rPr>
        <w:t>Furthermore, our ability to enhance our customer acquisition efficiency also depends significantly on the effectiveness of our progressive course mode to attract users to our premium courses. Once we bring new users onto our platforms, we encourage them to attend our introductory courses, and subsequently, to enroll in our premium courses. Substantially all of our paying learners have previously attended our introductory courses. We cannot assure you that our progressive course mode will continue to enlarge our paying learner base as we anticipate. To the extent that we fail to maintain the effectiveness of such organic business mode in converting users to paying learners, our business, results of operations and financial conditions may be materially and adversely affected.</w:t>
      </w:r>
    </w:p>
    <w:p>
      <w:pPr>
        <w:spacing w:after="0" w:line="288" w:lineRule="exact"/>
        <w:rPr>
          <w:sz w:val="20"/>
          <w:szCs w:val="20"/>
          <w:color w:val="auto"/>
        </w:rPr>
      </w:pPr>
    </w:p>
    <w:p>
      <w:pPr>
        <w:ind w:left="20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timely develop and enrich the contents of our course offerings to make them appealing to existing and prospective learners or in a cost-effective manner, or at all.</w:t>
      </w:r>
    </w:p>
    <w:p>
      <w:pPr>
        <w:spacing w:after="0" w:line="53"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We continue to develop and enrich the contents of our course offerings to improve the learning experience and results. We proactively seek learner feedback and refer to market research to upgrade or enrich our course offerings, including improving the content and teaching methods for our existing courses and developing new contents. We develop, update and improve our course offerings and materials to stay abreast of learner feedback, market demand and new trends in course subjects, and we may, from time to time, adjust our course mix by ceasing the offering of outdated or unpopular courses and launching new courses. We cannot assure you, however, that the adjustments to our course mix will always be efficient or successful. We also rely in part on our intelligent tools for content development to generate insights on learners’ perception of and response to our course offerings, which allows us to adjust our courses accordingly. However, the modifications, updates and expansions of our existing course content and the development of new course subjects may not be accepted by or attractive to existing or prospective learners. The degree of acceptance and adoption may also deviate from our projections. We may also fail to introduce or deliver our course content and learning materials as swiftly as learners expect or as fast as our competitors introduce their comparable content and materials. Furthermore, offering new content and materials or upgrading existing ones may incur significant costs and expenses, human</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40"/>
          </w:cols>
          <w:pgMar w:left="320" w:top="452"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80"/>
        <w:spacing w:after="0" w:line="256" w:lineRule="auto"/>
        <w:rPr>
          <w:sz w:val="20"/>
          <w:szCs w:val="20"/>
          <w:color w:val="auto"/>
        </w:rPr>
      </w:pPr>
      <w:r>
        <w:rPr>
          <w:rFonts w:ascii="Times New Roman" w:cs="Times New Roman" w:eastAsia="Times New Roman" w:hAnsi="Times New Roman"/>
          <w:sz w:val="18"/>
          <w:szCs w:val="18"/>
          <w:color w:val="auto"/>
        </w:rPr>
        <w:t>capital, management attention and other resources, and we may be unable to generate the level of return as we expect or at all. Our new offerings may also compete with or otherwise fail to fit well with our existing ones. If we are unsuccessful or inefficient in developing and modifying our course offerings, the quality and appeal of our course offerings and the learning experience could be impaired, which may materially and adversely affect our reputation and performance.</w:t>
      </w:r>
    </w:p>
    <w:p>
      <w:pPr>
        <w:spacing w:after="0" w:line="283" w:lineRule="exact"/>
        <w:rPr>
          <w:sz w:val="20"/>
          <w:szCs w:val="20"/>
          <w:color w:val="auto"/>
        </w:rPr>
      </w:pPr>
    </w:p>
    <w:p>
      <w:pPr>
        <w:ind w:left="200"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instructors and content development staff, and may rely on certain top-quality instructors and content development staff for our course offerings. If we fail to engage, train and retain such staff or a sufficient number of them, or if they underperform, the quality of our course offerings and our ability to attract prospective learners may be materially and adversely affected.</w:t>
      </w:r>
    </w:p>
    <w:p>
      <w:pPr>
        <w:spacing w:after="0" w:line="68"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Our instructors and content development staff are critical to the attractiveness of our course offerings, the learning experience, our reputation and market recognition, and our ability to convert more registered users to paying learners. In addition, the caliber and performance of our instructors, whether actual or perceived, are crucial to the quality of our offerings and the learning experience. The number of qualified personnel in the online adult learning market is limited, and we must provide competitive compensation and attractive career development opportunities to attract and retain them. We must also provide training and other support to our instructors and/or content development staff to ensure that they precisely capture the demand of learners and deliver course offerings effectively with consistent high quality. Furthermore, as we continue to develop new learning contents, we may need to engage additional instructors and/or content development staff with compatible skillsets.</w:t>
      </w:r>
    </w:p>
    <w:p>
      <w:pPr>
        <w:spacing w:after="0" w:line="187"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However, we cannot guarantee that we will be able to provide the desired compensation, career paths and other opportunities to recruit, retain and support instructors or content development staff. Any of their departure may reduce the attractiveness of our course offerings, harm the course enrollments and result in temporary or prolonged disruptions to our operations. If our instructors and/or content development staff join our competitors, existing and potential learners may decide to follow and enroll in courses offered by our competitors, which may weaken our position in the market. In addition, we cannot assure you that our instructors can consistently deliver each session to meet our learners’ expectations or our standards, or otherwise maintain or improve their credentials and overall performance in line with the evolving requirements of our course offerings. Furthermore, from time to time, our reliance on certain top-quality instructors may expose us to concentration risks. As a result, any shortage of high-quality instructors or any significant increase in the cost to retain high-quality instructors could have a material adverse effect on our business, results of operations and financial condition.</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price our courses and other services effectively.</w:t>
      </w:r>
    </w:p>
    <w:p>
      <w:pPr>
        <w:spacing w:after="0" w:line="1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Our results of operations are affected by the pricing of our courses and other services, especially our premium courses. We consider a number of factors in determining the prices of our courses, primarily including our course quality and service capabilities, as well as the macroeconomic environment. We believe our high-quality course offerings have allowed us to price our courses effectively. However, our ability to price our courses and other services effectively may be subject to a number of factors, such as the market demand of our existing and new offerings, the changes in macroeconomic factors, in particular the individual disposable income and consumer spending, and the pricing of our competitors, many of which could be beyond our control. See “Management’s Discussion and Analysis of Financial Condition and Results of Operations — Key Factors Affecting Results of Operations — Specific factors affecting results of operations — Ability to effectively price our courses.” If we fail to price our courses and other services effectively, our business, results of operations and financial condition could be materially and adversely affected.</w:t>
      </w:r>
    </w:p>
    <w:p>
      <w:pPr>
        <w:spacing w:after="0" w:line="292" w:lineRule="exact"/>
        <w:rPr>
          <w:sz w:val="20"/>
          <w:szCs w:val="20"/>
          <w:color w:val="auto"/>
        </w:rPr>
      </w:pPr>
    </w:p>
    <w:p>
      <w:pPr>
        <w:ind w:left="20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success and future growth of our business will be affected by the acceptance and interests of individual learners in online learning services and the market trends in the integration of technology and such services.</w:t>
      </w:r>
    </w:p>
    <w:p>
      <w:pPr>
        <w:spacing w:after="0" w:line="53" w:lineRule="exact"/>
        <w:rPr>
          <w:sz w:val="20"/>
          <w:szCs w:val="20"/>
          <w:color w:val="auto"/>
        </w:rPr>
      </w:pPr>
    </w:p>
    <w:p>
      <w:pPr>
        <w:ind w:left="200" w:right="520" w:firstLine="434"/>
        <w:spacing w:after="0" w:line="275" w:lineRule="auto"/>
        <w:rPr>
          <w:sz w:val="20"/>
          <w:szCs w:val="20"/>
          <w:color w:val="auto"/>
        </w:rPr>
      </w:pPr>
      <w:r>
        <w:rPr>
          <w:rFonts w:ascii="Times New Roman" w:cs="Times New Roman" w:eastAsia="Times New Roman" w:hAnsi="Times New Roman"/>
          <w:sz w:val="18"/>
          <w:szCs w:val="18"/>
          <w:color w:val="auto"/>
        </w:rPr>
        <w:t>We primarily operate at the intersection of the online learning and technology industries, and our business model features the integration of technology and online learning services to provide an engaging and immersive</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52"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0" w:lineRule="auto"/>
        <w:rPr>
          <w:sz w:val="20"/>
          <w:szCs w:val="20"/>
          <w:color w:val="auto"/>
        </w:rPr>
      </w:pPr>
      <w:r>
        <w:rPr>
          <w:rFonts w:ascii="Times New Roman" w:cs="Times New Roman" w:eastAsia="Times New Roman" w:hAnsi="Times New Roman"/>
          <w:sz w:val="18"/>
          <w:szCs w:val="18"/>
          <w:color w:val="auto"/>
        </w:rPr>
        <w:t>online learning experience. However, adult personal interest learning is a relatively new concept in China, and there are limited proven methods to project learners’ demand or preference or available industry standards on which we can rely. The general public, many of whom are our potential learners, may not recognize and accept the concept of learning through digital platforms. They may also have concerns over the effectiveness of our platforms, considering our relatively new business model and the fragmented market landscape. Even with the proliferation of the internet and mobile devices in China, we believe that some of our target learners may still be inclined to choose traditional and face-to-face lessons and paper materials over pre-recorded videos, live streaming and online contents, as they could find the traditional method more reliable. As a result of the foregoing, the general public may not choose our platforms and may stay with traditional offline programs. If our offerings become less appealing to learners in the future, our business, results of operations and financial condition could be materially and adversely affected.</w:t>
      </w:r>
    </w:p>
    <w:p>
      <w:pPr>
        <w:spacing w:after="0" w:line="292" w:lineRule="exact"/>
        <w:rPr>
          <w:sz w:val="20"/>
          <w:szCs w:val="20"/>
          <w:color w:val="auto"/>
        </w:rPr>
      </w:pPr>
    </w:p>
    <w:p>
      <w:pPr>
        <w:ind w:left="200"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expand our relationships with enterprise customers, our ability to grow our enterprise services and revenue may be materially and adversely affected.</w:t>
      </w:r>
    </w:p>
    <w:p>
      <w:pPr>
        <w:spacing w:after="0" w:line="53"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We launched our marketing services to enterprises in February 2020. Furthermore, we began to provide enterprise talent management services in June 2022 and have been exploring new opportunities with enterprise technical and operational support services to enterprise customers. We believe that our future success depends, in part, on our ability to grow our service offerings to enterprises, both by retaining and expanding our relationship with existing customers and attracting new ones. Our revenues generated from enterprise services was RMB144.3 million, RMB185.5 million (US$26.1 million), RMB42.6 million and RMB73.6 million (US$10.3 million) in the fiscal years ended June 30, 2021 and 2022 and the three months ended September 30, 2021 and 2022, respectively. We have experienced significant growth in our enterprise services, but we cannot assure you that we will continue to achieve similar growth, or achieve any growth at all, in the future. Our ability to retain enterprise customers and expand our services to them may decline or fluctuate as a result of a number of factors, including enterprise customers’ satisfaction with our services, the growth of our online learning services to individual learners, the quality and timeliness of our customer success and customer support services, our prices, and the prices and features of competing services. If customers do not purchase additional services or renew their existing services, renew on less favorable terms, or fail to continue to expand their engagement with us, our revenue may decline or grow less quickly than anticipated, which would harm our business, results of operations and financial condition.</w:t>
      </w:r>
    </w:p>
    <w:p>
      <w:pPr>
        <w:spacing w:after="0" w:line="291" w:lineRule="exact"/>
        <w:rPr>
          <w:sz w:val="20"/>
          <w:szCs w:val="20"/>
          <w:color w:val="auto"/>
        </w:rPr>
      </w:pPr>
    </w:p>
    <w:p>
      <w:pPr>
        <w:ind w:left="200"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complex and evolving PRC laws and regulations, many of which are subject to change and uncertain interpretation, and could result in claims, changes to business practices, monetary penalties, increased cost of operations, or declines in learner growth or engagement, or otherwise harm our business.</w:t>
      </w:r>
    </w:p>
    <w:p>
      <w:pPr>
        <w:spacing w:after="0" w:line="68"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We are subject to a variety of laws and regulations that involve matters important to or may otherwise impact our business, including, among others, our service offerings, cybersecurity, data security, personal information protection, foreign exchange and taxation. The introduction of new products and services may also subject us to additional laws, regulations or other government scrutiny. Moreover, the PRC regulatory framework governing financial marketing services is involving, and new laws or regulations may be promulgated to impose new requirements or prohibitions that render our operations or services non-compliant. For instance, on December 31, 2021, the People’s Bank of China, jointly with other six government authorities, issued the draft of Measures for Administration of Internet Marketing of Financial Products for public comments, to regulate, among others, financial institutions and internet platform marketing financial products. If such draft measures is enacted as proposed, our existing business model in our marketing services to enterprise customers may be materially and adversely affected and therefore be adjusted to comply with such amendments, and thus our business, results of operations and financial condition could be adversely affected.</w:t>
      </w:r>
    </w:p>
    <w:p>
      <w:pPr>
        <w:spacing w:after="0" w:line="187" w:lineRule="exact"/>
        <w:rPr>
          <w:sz w:val="20"/>
          <w:szCs w:val="20"/>
          <w:color w:val="auto"/>
        </w:rPr>
      </w:pPr>
    </w:p>
    <w:p>
      <w:pPr>
        <w:jc w:val="both"/>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These laws and regulations are continually evolving and may change significantly. As a result, the application, interpretation and enforcement of these laws and regulations are often uncertain, particularly in the rapidly evolving industry in which we operate. In addition, these laws and regulations may be interpreted and</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452"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spacing w:after="0" w:line="253" w:lineRule="auto"/>
        <w:rPr>
          <w:sz w:val="20"/>
          <w:szCs w:val="20"/>
          <w:color w:val="auto"/>
        </w:rPr>
      </w:pPr>
      <w:r>
        <w:rPr>
          <w:rFonts w:ascii="Times New Roman" w:cs="Times New Roman" w:eastAsia="Times New Roman" w:hAnsi="Times New Roman"/>
          <w:sz w:val="18"/>
          <w:szCs w:val="18"/>
          <w:color w:val="auto"/>
        </w:rPr>
        <w:t>applied inconsistently by different agencies or authorities, and inconsistently with our current policies and practices. These laws and regulations may also be costly to comply with, and such compliance or any associated inquiries or investigations or any other government actions may delay or impede our development of new services and products; result in negative publicity and increase our operating costs; require significant management time and attention; and subject us to remedies, administrative penalties and even criminal liabilities that may harm our business, including fines assessed for the current or historical operations in China, or demands or orders that we modify or cease existing business practices.</w:t>
      </w:r>
    </w:p>
    <w:p>
      <w:pPr>
        <w:spacing w:after="0" w:line="185" w:lineRule="exact"/>
        <w:rPr>
          <w:sz w:val="20"/>
          <w:szCs w:val="20"/>
          <w:color w:val="auto"/>
        </w:rPr>
      </w:pPr>
    </w:p>
    <w:p>
      <w:pPr>
        <w:ind w:left="200" w:right="260" w:firstLine="434"/>
        <w:spacing w:after="0" w:line="253"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the ability or manner in which we provide our services could require us to change certain aspects of our business to ensure compliance, which could decrease demand for our products and services, reduce revenues, increase costs, require us to obtain more licenses, permits, approvals or certificates, or subject us to additional liabilities. To the extent any new or more stringent measures are required to be implemented, our business, results of operations and financial condition could be adversely affected.</w:t>
      </w:r>
    </w:p>
    <w:p>
      <w:pPr>
        <w:spacing w:after="0" w:line="288"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evolving laws and regulations regarding cybersecurity, data security and personal information protection. If the data security measures adopted by us underperform, or if we otherwise fail to protect data security and personal information as required by relevant laws and regulations or by our users, we may lose existing users, fail to attract new users, and be subject to liabilities and other negative consequences.</w:t>
      </w:r>
    </w:p>
    <w:p>
      <w:pPr>
        <w:spacing w:after="0" w:line="50"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Maintaining data security and protecting personal information are critical to our business. We process a large amount of data and information in various aspects of our business, in particular certain personally identifiable information relating to our users. For instance, users generally provide their mobile phone number and/or social media account information used for user registration and mailing address and bank account information for receipt of our delivery and refund services. Such information is potentially vulnerable to cyber-attacks, computer viruses, physical or electronic break-ins or similar disruptions. We face risks inherent in handling large volumes of data and in protecting the security and privacy of such data. In addition, we are also subject to a variety of laws and regulations regarding cybersecurity, data security and personal information protection, including restrictions on the collection, storage and use of personal information and requirements to take steps to prevent personal data from being divulged, stolen or tampered with. To ensure the confidentiality and integrity of our data, we have implemented comprehensive and rigorous data security policies and measures to safeguard against unauthorized data access and disclosure to effectively address concerns related to privacy and data sharing. See “Business — Technology and Infrastructure — Data security and personal information protection.”</w:t>
      </w:r>
    </w:p>
    <w:p>
      <w:pPr>
        <w:spacing w:after="0" w:line="193"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These policies and measures, however, may not be as effective as we anticipate. A party may nevertheless circumvent our security measures and disseminate or misappropriate proprietary and confidential information and jeopardize the confidential nature of such information. Any unauthorized or otherwise inappropriate disclosure or leakage of data, whether willful or accidental, may give rise to wrongful access, misuse or loss of our proprietary and confidential information or other records, which could disrupt our business and expose us to potential liabilities, costly litigations and negative publicity. If security measures are breached because of third-party action, employee error, malfeasance or otherwise, or if design flaws in our technology infrastructure are exposed and exploited, our relationships with users and business partners could be severely damaged, we could incur significant liability and our business and operations could be adversely affected. Furthermore, we have expanded our services to enterprise customers, including provision of enterprise talent management services, and have been exploring new opportunities with enterprise technical and operational support services.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clients to lose trust in us and could expose us to legal claims. A security breach that leads to leakage of data and information of our users and/or</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320" w:top="452"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48" w:lineRule="auto"/>
        <w:rPr>
          <w:sz w:val="20"/>
          <w:szCs w:val="20"/>
          <w:color w:val="auto"/>
        </w:rPr>
      </w:pPr>
      <w:r>
        <w:rPr>
          <w:rFonts w:ascii="Times New Roman" w:cs="Times New Roman" w:eastAsia="Times New Roman" w:hAnsi="Times New Roman"/>
          <w:sz w:val="18"/>
          <w:szCs w:val="18"/>
          <w:color w:val="auto"/>
        </w:rPr>
        <w:t>customers could subject us to legal liabilities, regulatory sanctions, reputational damage and loss of user confidence. In addition, data breaches or any misconduct during the process of collection, analysis, and storage of data, could result in a violation of applicable PRC data privacy and protection laws and regulations, and subject us to regulatory actions, investigations or litigations. As of the date of this prospectus, we have not incurred any material actions, investigations or litigations relating to cybersecurity and personal information protection. However, we cannot guarantee that we will not encounter such incidents in the future. If any of such events occurs, we could incur significant costs in investigating and defending against them, and could be subject to negative publicity about our privacy and data protection practices, which may affect our reputation in the marketplace. Any potential risks related to our processing of data could require us to implement measures to reduce our exposure to liability, which may require us to expend substantial resources and limit the attractiveness of our services to learners. As a result, our business, results of operations and financial condition could be materially and adversely affected. Any of these issues could harm our reputation, adversely affect our ability to attract prospective learners, reduce their willingness to pay, or subject us to third-party lawsuits, regulatory fines or other action or liability. Any reputational damage resulting from breach of our security measures could create distrust of our company by prospective learners or investors. We may be required to spend significant additional resources to protect us against the threat of security measures breaches or to alleviate problems caused by such disruptions or breaches. Any concerns or claims about our practices and compliance with regard to the processing of personal information or other privacy-related matters, even if ungrounded, could damage our reputation and results of operations.</w:t>
      </w:r>
    </w:p>
    <w:p>
      <w:pPr>
        <w:spacing w:after="0" w:line="299" w:lineRule="exact"/>
        <w:rPr>
          <w:sz w:val="20"/>
          <w:szCs w:val="20"/>
          <w:color w:val="auto"/>
        </w:rPr>
      </w:pPr>
    </w:p>
    <w:p>
      <w:pPr>
        <w:ind w:left="200"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PRC regulatory framework for data security and personal information protection is rapidly evolving, and we could face challenges in our continued compliance with the heightened regulatory scrutiny.</w:t>
      </w:r>
    </w:p>
    <w:p>
      <w:pPr>
        <w:spacing w:after="0" w:line="53"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The PRC regulatory framework for data security and personal information protection is rapidly evolving and is likely to remain uncertain for the foreseeable future. For instance, on June 10, 2021, the Standing Committee of the National People’s Congress (“SCNPC”) promulgated the PRC Data Security Law, which took effect on September 1, 2021. The PRC Data Security Law, among other things, requires data collection to be conducted in a legitimate and proper manner, and stipulates that, for the purpose of data security, data processing activities must be conducted based on data classification and hierarchical protection system. Furthermore, on July 7, 2022, the CAC promulgated the Security Assessment Measures for Outbound Data Transfer, effective from September 1, 2022, to regulate outbound data transfer activities, protect the rights and interests of personal information, safeguard national security and social public interests, and promote the cross-border security and free flow of data.</w:t>
      </w:r>
    </w:p>
    <w:p>
      <w:pPr>
        <w:spacing w:after="0" w:line="187" w:lineRule="exact"/>
        <w:rPr>
          <w:sz w:val="20"/>
          <w:szCs w:val="20"/>
          <w:color w:val="auto"/>
        </w:rPr>
      </w:pPr>
    </w:p>
    <w:p>
      <w:pPr>
        <w:ind w:left="200" w:firstLine="434"/>
        <w:spacing w:after="0" w:line="264" w:lineRule="auto"/>
        <w:rPr>
          <w:sz w:val="20"/>
          <w:szCs w:val="20"/>
          <w:color w:val="auto"/>
        </w:rPr>
      </w:pPr>
      <w:r>
        <w:rPr>
          <w:rFonts w:ascii="Times New Roman" w:cs="Times New Roman" w:eastAsia="Times New Roman" w:hAnsi="Times New Roman"/>
          <w:sz w:val="17"/>
          <w:szCs w:val="17"/>
          <w:color w:val="auto"/>
        </w:rPr>
        <w:t>On August 20, 2021, the SCNPC passed the PRC Personal Information Protection Law (the “PIPL”), which took effect on November 1, 2021. The PIPL accentuates the importance of processors’ obligations and responsibilities for personal information protection and sets out the basic rules for processing personal information and the rules for cross-border transfer of personal information. Pursuant to the PIPL, a personal information processor is allowed to process (including to collect, store, use, transmit, provide, disclose and delete) personal information only under certain circumstances, such as processing with consent from such individual, or for necessity of performance of a contract to which such individual is a contracting party or statutory duties, management of human resource under the labor rules and regulations developed in accordance with the law or a collective contract signed in accordance with the law, protection of public interest, or reasonable usage of legally disclosed information. Processing of sensitive personal information, such as the personal information that is likely to result in damage to personal dignity, personal or property safety once illegally disclosed, as well as the personal information of minors under the age of 14, is subject to higher regulatory requirements including specific purpose, sufficient necessity, duty of explanation to such individuals and consent from a parent or a guardian of such minors. See “Regulation — Regulations on Privacy Protection” for details. We do not foresee any material impediments for us to comply with the PIPL and other existing PRC laws and regulations on cybersecurity, data security and personal data protection in all material respects, based on the following reasons: as of the date of this prospectus, (1) we have implemented comprehensive cybersecurity and data protection policies, procedures and measures to safeguard personal information rights and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320" w:top="452"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0" w:lineRule="auto"/>
        <w:rPr>
          <w:sz w:val="20"/>
          <w:szCs w:val="20"/>
          <w:color w:val="auto"/>
        </w:rPr>
      </w:pPr>
      <w:r>
        <w:rPr>
          <w:rFonts w:ascii="Times New Roman" w:cs="Times New Roman" w:eastAsia="Times New Roman" w:hAnsi="Times New Roman"/>
          <w:sz w:val="18"/>
          <w:szCs w:val="18"/>
          <w:color w:val="auto"/>
        </w:rPr>
        <w:t>ensure secured storage and transmission of data and prevent unauthorized access or use of data; (2) there has been no material leakage of data or personal information or violation of cybersecurity and data protection and privacy laws and regulations by us which will have a material adverse impact on our business operations; (3) we have not been subject to any material fines or administrative penalties, mandatory rectifications, or other sanctions by any competent regulatory authorities in relation to the infringement of cybersecurity and data protection laws and regulations; (4) there has been no material cybersecurity and data protection incidents or infringement upon the rights of any third parties, or other legal proceedings, administrative or governmental proceedings, pending or, to the best of the knowledge of our company, threatened against or relating to our company; and (5) we have not been involved in any investigations on cybersecurity review initiated by the CAC on such basis and have not received any inquiry, notice, warning or sanctions in this respect.</w:t>
      </w:r>
    </w:p>
    <w:p>
      <w:pPr>
        <w:spacing w:after="0" w:line="19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cannot assure you that our existing data security and personal information protection system and technical measures will always be considered sufficient under applicable laws, regulations and other privacy standards, or that we will comply with the applicable laws and regulation in all respects. If relevant government authorities interpret or implement these and other laws or regulations in ways that may negatively affect us, our current practice of collecting and processing data and personal information may be ordered to be rectified or terminated by regulatory authorities. We may also become subject to fines and other penalties which may have material adverse effect on our business, results of operations and financial condition. We could be adversely affected if PRC legislation or regulations require changes in business practices or privacy policies, or if the relevant PRC government authorities interpret or implement their legislation or regulations in ways that negatively affect our business, results of operations and financial condition.</w:t>
      </w:r>
    </w:p>
    <w:p>
      <w:pPr>
        <w:spacing w:after="0" w:line="292" w:lineRule="exact"/>
        <w:rPr>
          <w:sz w:val="20"/>
          <w:szCs w:val="20"/>
          <w:color w:val="auto"/>
        </w:rPr>
      </w:pPr>
    </w:p>
    <w:p>
      <w:pPr>
        <w:ind w:left="200"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Refunds or potential refund disputes of our course fees may negatively affect our reputation, results of operations, cash flows and financial condition.</w:t>
      </w:r>
    </w:p>
    <w:p>
      <w:pPr>
        <w:spacing w:after="0" w:line="53" w:lineRule="exact"/>
        <w:rPr>
          <w:sz w:val="20"/>
          <w:szCs w:val="20"/>
          <w:color w:val="auto"/>
        </w:rPr>
      </w:pPr>
    </w:p>
    <w:p>
      <w:pPr>
        <w:ind w:left="200" w:firstLine="434"/>
        <w:spacing w:after="0" w:line="248" w:lineRule="auto"/>
        <w:rPr>
          <w:sz w:val="20"/>
          <w:szCs w:val="20"/>
          <w:color w:val="auto"/>
        </w:rPr>
      </w:pPr>
      <w:r>
        <w:rPr>
          <w:rFonts w:ascii="Times New Roman" w:cs="Times New Roman" w:eastAsia="Times New Roman" w:hAnsi="Times New Roman"/>
          <w:sz w:val="18"/>
          <w:szCs w:val="18"/>
          <w:color w:val="auto"/>
        </w:rPr>
        <w:t>For our financial literacy courses, we generally offer paying learners for premium courses a full and unconditional refund within the first three months after their payment and before they unlock the courses. For details of our refund policy and revenue recognition, see “Management’s Discussion and Analysis of Financial Condition and Results of Operations — Key Components of Results of Operations — Revenues.” For the fiscal years ended June 30, 2021 and 2022 and the three months ended September 30, 2021 and 2022, we made refund payments of RMB137.4 million, RMB249.7 million (US$35.1 million), RMB73.9 million and RMB61.9 million (US$8.7 million), respectively, most of which were made pursuant to our tuition refund policy. The number of refund requests and the amount of refunds could be affected by a number of factors, many of which are beyond our control. For instance, paying learners may request refund due to reasons including but not limited to their dissatisfaction with our offerings, privacy concerns, accuracy of advertising contents regarding us, negative publicity regarding us or the industry in general, and any change or development in related PRC laws and regulations. Furthermore, our paying learners may disagree with us over the terms of our refund policies, the interpretation of relevant clauses, and the resolution of refund-related issues. Any refund payments that we may be required to make to our learners, as well as the expenses and resources involved for processing refunds and resolving refund disputes, could be substantial and could adversely affect our business operations and financial condition. A high volume of refunds and refund disputes may also generate negative publicity that could harm our reputation, brand image and market position. We have experienced in the past, and may experience in the future, negative publicity in relation to refund disputes between us and our learners, which may significantly harm our brand name and divert our attention from operating our business.</w:t>
      </w:r>
    </w:p>
    <w:p>
      <w:pPr>
        <w:spacing w:after="0" w:line="299" w:lineRule="exact"/>
        <w:rPr>
          <w:sz w:val="20"/>
          <w:szCs w:val="20"/>
          <w:color w:val="auto"/>
        </w:rPr>
      </w:pPr>
    </w:p>
    <w:p>
      <w:pPr>
        <w:ind w:left="20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claims for any inappropriate or illegal content in our course offerings and on our platforms, which could cause us to incur legal costs and suffer reputational damage and harm our future business prospects.</w:t>
      </w:r>
    </w:p>
    <w:p>
      <w:pPr>
        <w:spacing w:after="0" w:line="53"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The PRC government and regulatory authorities have adopted regulations governing illegal content and information over the internet. Under these regulations, internet content providers are prohibited from posting or displaying over the internet content that, among other things, violates PRC laws and regulations, impairs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320" w:top="452"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national dignity of China or the public interest, propagates superstition, insults others, or is obscene or violent. Internet content providers are also prohibited from displaying content that may be deemed by relevant government authorities as socially destabilizing or leaking state secrets of China. The PRC government and regulatory authorities strengthen the regulation on internet content from time to time. For instance, the Circular of the SAPPRFT on Issues Concerning Strengthening the Administration of Online Live Streaming of Audio-Visual Programs requires online audio-visual live streaming service providers to monitor the living streaming content, and to have an established emergency reaction plan to replace content that violates PRC laws and regulations.</w:t>
      </w:r>
    </w:p>
    <w:p>
      <w:pPr>
        <w:spacing w:after="0" w:line="185"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We implement strict monitoring procedures to remove inappropriate or illegal content in our courses and on our platforms. However, we cannot assure you that there will be no inappropriate or illegal materials included in our courses and learning materials and on our platforms. Therefore, we may face civil, administrative or criminal liability if an individual or corporate, governmental or other entity believes that the contents in our course offerings or on our platforms violates any laws, regulations or governmental policies or infringes their legal rights. Even if such a claim were not successful, defending such a claim may cause us to incur substantial costs. Moreover, any accusation of inappropriate or illegal content in our content offerings and on our platforms could lead to significant negative publicity, which could harm our reputation and future business prospects.</w:t>
      </w:r>
    </w:p>
    <w:p>
      <w:pPr>
        <w:spacing w:after="0" w:line="288" w:lineRule="exact"/>
        <w:rPr>
          <w:sz w:val="20"/>
          <w:szCs w:val="20"/>
          <w:color w:val="auto"/>
        </w:rPr>
      </w:pPr>
    </w:p>
    <w:p>
      <w:pPr>
        <w:ind w:left="20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business may be adversely affected by the misconduct and improper activities by our learners, teaching staff, other employees, enterprise customers and other stakeholders.</w:t>
      </w:r>
    </w:p>
    <w:p>
      <w:pPr>
        <w:spacing w:after="0" w:line="53"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could be liable for actions taken by misconduct and improper activities by our learners, teaching staff, other employees, enterprise customers and other stakeholders. For instance, we allow instructors to engage in real-time communication with our learners. Our courses undergo internal review and pilot testing before being broadcasted. We also monitor our live courses, chat messages and other content of our courses to ensure that we are able to identify content that may be deemed inappropriate or violation of laws, regulations and government policies. When any inappropriate or illegal content is identified, we will promptly remove such content. We have also adopted a set of intelligent tools to reduce the chance that such illegal or inappropriate content might appear on our platforms. However, since we have limited control over the real-time and offline behavior of our instructors, tutors, learners, as well as their behaviors outside our platforms, to the extent any improper behavior is associated with our platforms, our ability to protect our brand image and reputation may be limited.</w:t>
      </w:r>
    </w:p>
    <w:p>
      <w:pPr>
        <w:spacing w:after="0" w:line="190" w:lineRule="exact"/>
        <w:rPr>
          <w:sz w:val="20"/>
          <w:szCs w:val="20"/>
          <w:color w:val="auto"/>
        </w:rPr>
      </w:pPr>
    </w:p>
    <w:p>
      <w:pPr>
        <w:ind w:left="200" w:right="240" w:firstLine="434"/>
        <w:spacing w:after="0" w:line="251" w:lineRule="auto"/>
        <w:rPr>
          <w:sz w:val="20"/>
          <w:szCs w:val="20"/>
          <w:color w:val="auto"/>
        </w:rPr>
      </w:pPr>
      <w:r>
        <w:rPr>
          <w:rFonts w:ascii="Times New Roman" w:cs="Times New Roman" w:eastAsia="Times New Roman" w:hAnsi="Times New Roman"/>
          <w:sz w:val="18"/>
          <w:szCs w:val="18"/>
          <w:color w:val="auto"/>
        </w:rPr>
        <w:t>In addition, if any of our learners and potential learners associated with our platforms or business suffer or allege to have suffered financial or other harm following the services and products provided or contact initiated on our platforms, we may face civil lawsuits or other liability claims initiated by the affected person or governmental or regulatory authorities. In response to allegations of illegal or inappropriate activities conducted on our platforms or any negative media coverage about us, PRC government authorities may intervene and hold us liable for non-compliance with PRC laws and regulations concerning the dissemination of information on the internet and subject us to administrative penalties or other sanctions, such as requiring us to restrict or discontinue some of the features and services provided on our platforms. As a result, our brand image and learner base may suffer, and our business, results of operations and financial condition may be materially and adversely affected.</w:t>
      </w:r>
    </w:p>
    <w:p>
      <w:pPr>
        <w:spacing w:after="0" w:line="187"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We are also exposed to the risks associated with our marketing services such as fraud or other misconduct of our enterprise customers, other stakeholders and other persons relating to our platforms. For instance, the enterprises that we serve may be subject to regulatory penalties because of their regulatory compliance failures, which may, directly or indirectly, disrupt our business. The legal liabilities and regulatory actions on our enterprise customers or other third parties involved in our business may affect our business activities and reputation and in turn, our results of operations. Other types of misconduct also include intentionally failing to comply with government regulations, engaging in unauthorized activities and misrepresentation to our prospective learners during marketing activities, which could harm our reputation. It is not always possible to deter such misconduct, and the precautions we take to prevent and detect this activity may not be effective in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40"/>
          </w:cols>
          <w:pgMar w:left="320" w:top="452"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controlling unknown or unmanaged risks or losses, which could harm our business, results of operations and financial condition.</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marketing and promotion content on or relating to our platforms may subject us to penalties and other administrative actions or liabilities.</w:t>
      </w:r>
    </w:p>
    <w:p>
      <w:pPr>
        <w:spacing w:after="0" w:line="116"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7"/>
          <w:szCs w:val="17"/>
          <w:color w:val="auto"/>
        </w:rPr>
        <w:t>Under PRC advertising laws and regulations, we are obligated to monitor the marketing and promotion contents on our platforms to ensure that such content is true and accurate and in full compliance with applicable laws and regulations. Furthermore, the PRC Anti-Unfair Competition Law prohibits business operators from making false or misleading commercial promotions regarding its performance, functions, quality, sales, user feedback or accolades, to defraud or mislead customers. Violation of these laws and regulations may subject us to penalties, including fines, confiscation of the related income, orders to cease dissemination of the advertisements and orders to publish an announcement correcting the misleading information. We have been and could, from time to time in the future continue to be, subject to such penalties and fines. For instance, Beijing Feierlai historically received certain administrative penalties of warning and fines for making false and misleading promotion of its instructors and the effectiveness and benefits of its financial literacy course offerings. Moreover, in circumstances involving serious violations by us, PRC government authorities may force us to terminate our marketing or promotion-related operations or revoke our licenses. See “Regulation — Regulations on Advertisement.”</w:t>
      </w:r>
    </w:p>
    <w:p>
      <w:pPr>
        <w:spacing w:after="0" w:line="177"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While we have made significant efforts to ensure that the marketing and promotion materials on our platforms are in full compliance with applicable PRC laws and regulations, we cannot assure you that all the content contained in such materials will always comply with the relevant advertising laws and regulations, especially given the uncertainty in the interpretation of these PRC laws and regulations. For instance, we cannot guarantee that all descriptions of our online courses on our mobile apps and other social medial platforms are precise representations of the underlying services that we offer to our learners. In addition, we may fail to consistently and/or clearly present our contents and offerings as advertisements, where applicable, as required by the relevant laws and regulations. Moreover, in connection with our marketing services for enterprises, although we generally require our enterprise customers to be responsible for the legality, authenticity and appropriateness of those materials and have little control over the activities and procedures of such enterprise customers to create and modify these materials, we are nevertheless obliged to refuse to display such materials on our platform if we know or should know those materials are not in compliance with PRC law and regulations. If we are found to be in violation of applicable PRC laws and regulations, we may be subject to penalties and our reputation may be harmed, which may negatively affect our business, results of operations and financial condition.</w:t>
      </w:r>
    </w:p>
    <w:p>
      <w:pPr>
        <w:spacing w:after="0" w:line="293" w:lineRule="exact"/>
        <w:rPr>
          <w:sz w:val="20"/>
          <w:szCs w:val="20"/>
          <w:color w:val="auto"/>
        </w:rPr>
      </w:pPr>
    </w:p>
    <w:p>
      <w:pPr>
        <w:ind w:left="20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continue to be subject to litigations, allegations, complaints, investigations and penalties from time to time, which may adversely affect our business, results of operations and financial condition.</w:t>
      </w:r>
    </w:p>
    <w:p>
      <w:pPr>
        <w:spacing w:after="0" w:line="53"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7"/>
          <w:szCs w:val="17"/>
          <w:color w:val="auto"/>
        </w:rPr>
        <w:t>We have been and may continue to be involved in legal and other disputes, including labor disputes, customer complaints in relation to our refund policy, course advertisements, unfair competition and other dissatisfactions, contractual disputes, and administrative penalties in the ordinary course of our business operations. We have encountered and may also, in the future, encounter, disputes from time to time over rights and obligations concerning intellectual property rights and allegations against us for potential infringement of third party’s intellectual property rights, and we may not prevail in those disputes. Any claims against us, with or without merit, could be time consuming and costly to defend or litigate, divert our management’s attention and resources, or harm our brand equity. If a legal or administrative proceeding against us is successful, we may be required to pay substantial damages or fines and/or enter into agreements that may not be based upon commercially reasonable terms, or we may be unable to enter into such agreements at all. We may also lose, or be limited in, the rights to offer some of our content, products and services or be required to make changes to our content offerings or business model. As a result, the scope of our content, product and service offerings could be reduced, which could adversely affect our ability to attract new learners, harm our reputation and have a material adverse effect on our business, results of operations and financial condition.</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40"/>
          </w:cols>
          <w:pgMar w:left="320" w:top="452"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cumulative net loss and have net current liabilities and total deficit in the past, and may not achieve or profitability in the future.</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have incurred cumulative net loss in the past. We generated net loss of RMB316.0 million, RMB233.4 million (US$32.8 million), RMB77.9</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million and RMB97.3 million (US$13.7 million) in the fiscal years ended June 30, 2021 and 2022 and the three months ended September 30, 2021 and</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2022, respectively. We had net current liabilities of RMB200.7 million (US$28.2 million) and total shareholders’ deficit of RMB847.6 million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(US$119.2 million) as of September 30, 2022, primarily relating to our operating expenses. We cannot assure you that we will be able to generate net</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profits or positive cash flow from operating activities in the future. Our ability to achieve and maintain profitability will depend in large part on our</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ability to maintain or increase our operating margin, either by growing our revenues at a rate faster than our costs and operating expenses increase, or by</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reducing our costs and operating expenses as a percentage of our revenues. Accordingly, we intend to continue to invest to attract new learners, hire</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high-quality instructors and tutors, and strengthen our technologies and data analytics capability to enhance learner experience. Our ability to achieve</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and maintain profitability will depend on the success of our existing and new service offerings, including our newly launched new course offerings and</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enterprise talent management services, which may result in a large amount of upfront investment, costs and expenses. As a result of the foregoing, we</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not be able to achieve profitable or increase our profitability in the future.</w:t>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service offering mix may affect our results of operations.</w:t>
      </w:r>
    </w:p>
    <w:p>
      <w:pPr>
        <w:spacing w:after="0" w:line="11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Our results of operations have been, and are expected to continue to be, affected by changes in service offering mix. Our profit margins vary across different business lines, such as our online learning services and enterprise services. Our course fees also vary among different courses, such as between financial literacy courses and other personal interest courses, and between introductory courses and premium courses. We also adopt different revenue recognition and accounting treatment policies for our individual online learning services, and enterprise services. For our online courses, we typically collect our course fees in full upon course enrollment which are recognized over the longer of the corresponding contractual service period of the course and an estimated average learning time of the paying learners. For our marketing services to enterprises, we generally calculate and collect service fees based on the quality and quantity of the leads generated and/or amount of services offered. The revenue contribution of other personal interest courses and enterprise services to our total revenues is increasing, which affected, and may continue to affect, our overall profit margin and results of operations. See “Management’s Discussion and Analysis of Financial Condition and Results of Operations — Key Factors Affecting Results of Operations — Specific factors affecting results of operations — Change in service offering mix.” We also began to provide enterprise talent management services and enterprise technical and operational support services to enterprise customers in June 2022. The different nature of such service offerings may further affect the overall profit margin and cost structure. Any future change in our service offering mix could subject our results of operations and financial condition to substantial uncertainties.</w:t>
      </w:r>
    </w:p>
    <w:p>
      <w:pPr>
        <w:spacing w:after="0" w:line="289" w:lineRule="exact"/>
        <w:rPr>
          <w:sz w:val="20"/>
          <w:szCs w:val="20"/>
          <w:color w:val="auto"/>
        </w:rPr>
      </w:pPr>
    </w:p>
    <w:p>
      <w:pPr>
        <w:ind w:left="20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China’s online adult learning market, including the online adult learning market for personal interest courses, has been evolving rapidly. If we are unable to anticipate and adapt to industry trends in time, our business and prospects may be materially and adversely affected.</w:t>
      </w:r>
    </w:p>
    <w:p>
      <w:pPr>
        <w:spacing w:after="0" w:line="53"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The online adult learning market in China, including the online adult learning market for personal interest courses, is constantly evolving. Our limited history as an online learning service provider may not serve as an adequate basis for evaluating our future prospect and results of operations, including our revenue, cash flows and profitability. We have encountered, and may continue to encounter in the future, risks, challenges and uncertainties associated with operating an internet-based business, such as building and managing reliable and secure IT systems and infrastructure, addressing regulatory compliance and uncertainty, and hiring and training IT support staff, all of which we have limited experience with. In addition, we may face additional risks and challenges associated with responding to evolving industry trends, standards and new developments, including new technologies and applications made possible by the increasing mobile penetration in China. If we do not rise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320" w:top="452"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up to the challenges successfully, our business may suffer and our operating and financial results may differ materially from our expectations.</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Any global systemic economic and financial crisis could negatively affect our business, results of operations and financial condition.</w:t>
      </w:r>
    </w:p>
    <w:p>
      <w:pPr>
        <w:spacing w:after="0" w:line="116" w:lineRule="exact"/>
        <w:rPr>
          <w:sz w:val="20"/>
          <w:szCs w:val="20"/>
          <w:color w:val="auto"/>
        </w:rPr>
      </w:pPr>
    </w:p>
    <w:p>
      <w:pPr>
        <w:ind w:left="200" w:right="80" w:firstLine="434"/>
        <w:spacing w:after="0" w:line="248" w:lineRule="auto"/>
        <w:rPr>
          <w:sz w:val="20"/>
          <w:szCs w:val="20"/>
          <w:color w:val="auto"/>
        </w:rPr>
      </w:pPr>
      <w:r>
        <w:rPr>
          <w:rFonts w:ascii="Times New Roman" w:cs="Times New Roman" w:eastAsia="Times New Roman" w:hAnsi="Times New Roman"/>
          <w:sz w:val="18"/>
          <w:szCs w:val="18"/>
          <w:color w:val="auto"/>
        </w:rPr>
        <w:t>Any prolonged slowdown in the Chinese or global economy may have a negative impact on our business, results of operations and financial condition. For instance, the global financial markets have experienced significant disruptions since 2008 and the United States, Europe and other economies have experienced periods of recession. The recovery from the lows of 2008 and 2009 has been uneven and there are new challenges, including the escalation of the European sovereign debt crisis from 2011 and the slowdown of Chinese economic growth since 2012, which may continue. The market panics over the global outbreak of coronavirus COVID-19 and the drop in oil price have materially and negatively affected the global financial markets in March 2020, which may cause a potential slowdown of the world’s economy. There have also been concerns over unrest in Ukraine, the Middle East and Africa, which have resulted in volatility in financial and other markets, concerns over the significant potential changes to United States trade policies, treaties and tariffs, including trade policies and tariffs regarding China, concerns about the economic effect of the tensions in the relationship between China and surrounding Asian countries, and concerns over the rising level of inflation and worries that efforts to curb inflation may result in recession. For instance, if the inflation intensifies in China, we may have to increase the price level of our courses and enterprise services while our costs and operating expenses may also increase in the mean time. In that case, our profit margin will depend on our ability to pass on the additional costs and operating expenses to our customers. In addition, a rising inflation level will also have a negative impact on the willingness and ability of learners and enterprises to pay for our offerings, which will in turn reduce the demand of our offerings and negatively affect our results of operations and financial condition. There were and could be in the future a number of domino effects from such turmoil on our business, including decreased interests in personal financing and wealth management, changes in consumption and investment behaviors, and lower willingness to pay for our courses.</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have been and may continue to be affected by the COVID-19 pandemic.</w:t>
      </w:r>
    </w:p>
    <w:p>
      <w:pPr>
        <w:spacing w:after="0" w:line="116"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COVID-19 has significantly affected China and many other countries. Since early 2020, the PRC government has imposed various measures to keep COVID-19 in check, including quarantine arrangements, travel restrictions, and stay-at-home orders from time to time. Such restrictions have adversely affected our operations, as it has caused inconvenience to our day-to-day operating activities. We have taken measures to minimize the impact of COVID-19 on our operations, including transitioning our employees to remote work and providing instructors with devices to facilitate remote course delivery during the pandemic. See “Management’s Discussion and Analysis of Financial Condition and Results of Operations — Effects of COVID-19 Pandemic” for details of the impact of the COVID-19 pandemic on our business operations and the measures we have taken in response to the pandemic.</w:t>
      </w:r>
    </w:p>
    <w:p>
      <w:pPr>
        <w:spacing w:after="0" w:line="187"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The COVID-19 pandemic has broadly affected China’s online adult learning market and the macroeconomy. Our results of operations and financial performance have been and may continue to be adversely affected, to the extent that COVID-19 exerts long-term negative impact on the Chinese economy. Historically, the COVID-19 pandemic contributed to the growth of China’s online adult learning market, and in turn, our business growth. However, we are not able to quantify the proportion of the increase in revenue that is attributable to the COVID-19 pandemic as opposed to other factors contributing to our growth in the same periods. Furthermore, the circumstances that have driven our business growth during the COVID-19 pandemic may not persist in the future. Many of the restrictive measures previously adopted by the PRC governments at various levels to control the spread of the COVID-19 virus have been revoked or replaced with more flexible measures since December 2022. While the revocation or replacement of the restrictive measures to contain the COVID-19 pandemic could have a positive impact on our normal operations, it may also shift the public’s focus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52"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spacing w:after="0" w:line="249" w:lineRule="auto"/>
        <w:rPr>
          <w:sz w:val="20"/>
          <w:szCs w:val="20"/>
          <w:color w:val="auto"/>
        </w:rPr>
      </w:pPr>
      <w:r>
        <w:rPr>
          <w:rFonts w:ascii="Times New Roman" w:cs="Times New Roman" w:eastAsia="Times New Roman" w:hAnsi="Times New Roman"/>
          <w:sz w:val="18"/>
          <w:szCs w:val="18"/>
          <w:color w:val="auto"/>
        </w:rPr>
        <w:t>to offline activities and reduce their interest in online learning. Moreover, there has recently been and may continue to be an increase in COVID-19 cases in China, and as a result, we experienced temporary disruption to our operations where many employees were infected with COVID-19 in December 2022. To the extent that future waves of COVID-19 disrupt normal business operations in China, we may face operational challenges with our services, and we likely will have to adopt similar remote work arrangements and other measures to minimize such impact. Moreover, any decline in the individual disposable income and learners’ willingness to spend on personal development opportunities due to a worsening economic performance and outlook as a result of the COVID-19 pandemic may also lessen demands for our services or put price pressure on our services. In addition, as we have expanded into more enterprise services, including enterprise talent management services, the demand from enterprise customers may also stagnate if they encounter operational and financial difficulties as a result of the COVID-19 pandemic. The duration and extent of impact of such business disruptions, lower demands or price pressure on our results of operations and financial performance cannot be reasonably estimated at this time. The extent to which the COVID-19 pandemic impacts our results of operations will depend on future developments, which are highly uncertain, including the availability and effectiveness of any new vaccines and the emergence of any new COVID-19 variants, among others.</w:t>
      </w:r>
    </w:p>
    <w:p>
      <w:pPr>
        <w:spacing w:after="0" w:line="293" w:lineRule="exact"/>
        <w:rPr>
          <w:sz w:val="20"/>
          <w:szCs w:val="20"/>
          <w:color w:val="auto"/>
        </w:rPr>
      </w:pPr>
    </w:p>
    <w:p>
      <w:pPr>
        <w:ind w:left="200" w:right="5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Any failures or underperformance of our information technology system and infrastructure, in particular those relating to live streaming and business intelligence, could reduce learner satisfaction, harm our reputation, and cause our services to be less attractive to our learners and customers.</w:t>
      </w:r>
    </w:p>
    <w:p>
      <w:pPr>
        <w:spacing w:after="0" w:line="68" w:lineRule="exact"/>
        <w:rPr>
          <w:sz w:val="20"/>
          <w:szCs w:val="20"/>
          <w:color w:val="auto"/>
        </w:rPr>
      </w:pPr>
    </w:p>
    <w:p>
      <w:pPr>
        <w:ind w:left="200" w:right="20" w:firstLine="434"/>
        <w:spacing w:after="0" w:line="265" w:lineRule="auto"/>
        <w:rPr>
          <w:sz w:val="20"/>
          <w:szCs w:val="20"/>
          <w:color w:val="auto"/>
        </w:rPr>
      </w:pPr>
      <w:r>
        <w:rPr>
          <w:rFonts w:ascii="Times New Roman" w:cs="Times New Roman" w:eastAsia="Times New Roman" w:hAnsi="Times New Roman"/>
          <w:sz w:val="17"/>
          <w:szCs w:val="17"/>
          <w:color w:val="auto"/>
        </w:rPr>
        <w:t>The performance and reliability of our technology system and infrastructure are critical to our business operations. We rely on a combination of in-house and external technology system and infrastructure to provide our services, the failure or underperformance of which may materially disrupt our business operations. For instance, we rely on certain external service providers to support the delivery of our live courses. Any capacity or bandwidth limit, service interruptions or delays or other errors of the live streaming service providers could materially and adversely affect our learner experience, reputation and brand image and the business operations of the consolidated affiliated entities. In addition, our network infrastructure is currently deployed, and our data is mainly maintained by certain third-party cloud computing service providers in China. We depend on such service providers’ ability to protect their and our system in their facilities against events such as damage or interruption from natural disasters, power or telecommunications failures, air quality issues, environmental conditions, computer viruses or attempts to harm our systems, criminal acts and similar events, which events are beyond our control. If our arrangements with such service providers are terminated or if there is a lapse of service or damage to their facilities, we could experience interruptions in our service. Any interruptions in the accessibility of or deterioration it the quality of access to our platform and offerings could reduce the attractiveness of our services and products, impair learners’ satisfaction and result in reduction in the number of our learners, which could materially and adversely affect our business, results of operations and financial condition.</w:t>
      </w:r>
    </w:p>
    <w:p>
      <w:pPr>
        <w:spacing w:after="0" w:line="278"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support certain of our online course delivery and business operation and any disruption of or interference with our use of such third-party services would adversely affect our business, results of operations and financial condition.</w:t>
      </w:r>
    </w:p>
    <w:p>
      <w:pPr>
        <w:spacing w:after="0" w:line="53"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We rely on third parties to support certain of our online course delivery and business operation, including sales and marketing activities on certain major social media platforms, such as Weixin, Douyin and Kuaishou. We are, therefore, vulnerable to problems experienced by such third-party service providers. We may experience interruptions, delays or outages with respect to our third-party service providers in the future due to a variety of factors, including infrastructure changes, human, hardware or software errors, hosting disruptions and capacity constraints. The level of services provided by these providers, or regular or prolonged interruptions in that service, could also adversely affect our learners’ experience, consequently, our business and reputation. In addition, costs generated from third parties’ services will increase as our learner base grows, which could adversely affect our business if we are unable to grow our revenue sufficiently to offset such increase. Furthermore, our providers have broad discretion to change and interpret the terms of service and other policies with respect to us, including the fees charged to us, and those actions may be unfavorable to our business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320" w:top="452"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1" w:lineRule="auto"/>
        <w:rPr>
          <w:sz w:val="20"/>
          <w:szCs w:val="20"/>
          <w:color w:val="auto"/>
        </w:rPr>
      </w:pPr>
      <w:r>
        <w:rPr>
          <w:rFonts w:ascii="Times New Roman" w:cs="Times New Roman" w:eastAsia="Times New Roman" w:hAnsi="Times New Roman"/>
          <w:sz w:val="18"/>
          <w:szCs w:val="18"/>
          <w:color w:val="auto"/>
        </w:rPr>
        <w:t>operations. Our providers may also take actions beyond our control that could seriously harm our business, including discontinuing or limiting our access to one or more services, increasing service prices,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ability to make our online live streaming courses available to learners, as well as delays and additional expenses in arranging for alternative services. As a result, we may incur additional costs, fail to attract or retain learners, or be subject to potential liability, any of which could have an adverse effect on our business, results of operations and financial condition.</w:t>
      </w:r>
    </w:p>
    <w:p>
      <w:pPr>
        <w:spacing w:after="0" w:line="289" w:lineRule="exact"/>
        <w:rPr>
          <w:sz w:val="20"/>
          <w:szCs w:val="20"/>
          <w:color w:val="auto"/>
        </w:rPr>
      </w:pPr>
    </w:p>
    <w:p>
      <w:pPr>
        <w:ind w:left="200"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in particular those relating to trademarks and copyrights as well as the contents on our platforms, may undermine our competitive position, and litigation to protect such intellectual property rights or defend against third-party allegations of infringement may be costly and ineffective.</w:t>
      </w:r>
    </w:p>
    <w:p>
      <w:pPr>
        <w:spacing w:after="0" w:line="68" w:lineRule="exact"/>
        <w:rPr>
          <w:sz w:val="20"/>
          <w:szCs w:val="20"/>
          <w:color w:val="auto"/>
        </w:rPr>
      </w:pPr>
    </w:p>
    <w:p>
      <w:pPr>
        <w:ind w:left="200" w:right="320" w:firstLine="434"/>
        <w:spacing w:after="0" w:line="267" w:lineRule="auto"/>
        <w:rPr>
          <w:sz w:val="20"/>
          <w:szCs w:val="20"/>
          <w:color w:val="auto"/>
        </w:rPr>
      </w:pPr>
      <w:r>
        <w:rPr>
          <w:rFonts w:ascii="Times New Roman" w:cs="Times New Roman" w:eastAsia="Times New Roman" w:hAnsi="Times New Roman"/>
          <w:sz w:val="17"/>
          <w:szCs w:val="17"/>
          <w:color w:val="auto"/>
        </w:rPr>
        <w:t>We believe that our copyrights, trademarks and other intellectual property are essential to our success. We have devoted considerable time and energy to the development and improvement of our course materials, platforms and technologies. We rely primarily on copyrights, trademarks, trade secrets and other contractual restrictions for the protection of the intellectual property used in our business. Nevertheless, these provide only limited protection and the actions we take to protect our intellectual property rights may not be adequate. Third parties may pirate our course materials and infringe upon or misappropriate our other intellectual property. Our trade secrets may become known or be independently discovered by our competitors. Infringement upon or the misappropriation of, our proprietary technologies, course contents or other intellectual property could have a material adverse effect on our business, results of operations or financial condition. While we have taken steps to protect our proprietary rights, such steps may not be adequate to prevent the infringement or misappropriation of our intellectual property.</w:t>
      </w:r>
    </w:p>
    <w:p>
      <w:pPr>
        <w:spacing w:after="0" w:line="175"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we have not registered certain trademarks for certain goods or services we use in our business, and are in the process of registering certain trademarks that are necessary based on the current scope of our business. Certain trademarks relating to and potentially important to our business have been registered by third parties, some of which relates to our key brands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We cannot assure you that any of our trademark applications will ultimately proceed to registration or will result in registration with adequate scope for our business, particularly if such requested trademarks are found to conflict with the registered trademarks owned by third parties, including our competitors. Some of our pending applications or registrations may be successfully challenged or invalidated by others. If our trademark applications are not successful, we may have to use different marks for the affected services, or seek to enter into arrangements with any third parties who may have prior registrations, applications or rights, which might not be available on commercially reasonable terms, if at all.</w:t>
      </w:r>
    </w:p>
    <w:p>
      <w:pPr>
        <w:spacing w:after="0" w:line="190" w:lineRule="exact"/>
        <w:rPr>
          <w:sz w:val="20"/>
          <w:szCs w:val="20"/>
          <w:color w:val="auto"/>
        </w:rPr>
      </w:pPr>
    </w:p>
    <w:p>
      <w:pPr>
        <w:ind w:left="200" w:right="40" w:firstLine="434"/>
        <w:spacing w:after="0" w:line="249" w:lineRule="auto"/>
        <w:rPr>
          <w:sz w:val="20"/>
          <w:szCs w:val="20"/>
          <w:color w:val="auto"/>
        </w:rPr>
      </w:pPr>
      <w:r>
        <w:rPr>
          <w:rFonts w:ascii="Times New Roman" w:cs="Times New Roman" w:eastAsia="Times New Roman" w:hAnsi="Times New Roman"/>
          <w:sz w:val="18"/>
          <w:szCs w:val="18"/>
          <w:color w:val="auto"/>
        </w:rPr>
        <w:t>We have been, and expect to continue to be involved with litigation and other legal proceedings to protect our intellectual property rights. For instance, certain of our competitors are infringing certain copyrights of our financial literacy course contents and we have sued such companies and claimed for, among others, injunctive relief and monetary damages. As of the date of this prospectus, some of such legal proceedings are still ongoing. Litigation may be necessary to enforce our intellectual property rights, protect our trade secrets, or determine the validity and scope of the proprietary rights of others. Such litigation, however, may be costly and divert management’s attention away from our business. An adverse determination in any such litigation would impair our intellectual property rights and may harm our business, prospects and reputation. Enforcement of judgments in China is uncertain, and even if we are successful in litigation, it may not provide us with an effective remedy. In addition, we have no insurance coverage against litigation costs and would have to bear all costs arising from such litigation to the extent we are unable to recover them from other parties. The occurrence of any of the foregoing could result in substantial costs and diversion of our resources, and have a material adverse effect on our business, results of operations and financial condition.</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52"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infringement claims relating to intellectual properties of third parties.</w:t>
      </w:r>
    </w:p>
    <w:p>
      <w:pPr>
        <w:spacing w:after="0" w:line="116"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We cannot assure you that our course contents, IT technologies and platforms do not or will not infringe upon copyrights or other intellectual property rights held by third parties. We may encounter disputes from time to time over rights and obligations concerning intellectual properties, and we may not prevail in those disputes. For instance, we were historically subject to a competitor’s claim that we infringed the copyrights relating to their financial literacy course contents, which we eventually settled with that party. In addition, although we develop most of our introductory and premium level courses in house, we have obtained the license to use certain learning materials on our platforms from third parties. If our rights to such contents are disputed or if we lose such rights, we may be forced to remove the disputed content from the offerings as well as pay certain penalties. In this case, our business, results of operations, financial condition and reputation would be adversely affected.</w:t>
      </w:r>
    </w:p>
    <w:p>
      <w:pPr>
        <w:spacing w:after="0" w:line="187"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We have adopted policies and procedures to prohibit our employees from infringing upon third-party copyright or intellectual property rights. However, we cannot ensure that they will not, against our policies, use third-party copyrighted materials or intellectual property without proper authorization in our platforms or via any medium through which we provide our services. We may incur liability for unauthorized duplication or distribution of materials posted on our online platforms or mobile apps. We may be subject to claims against us alleging our infringement of third-party intellectual property rights in the future. Any such intellectual property infringement claim could result in costly litigation and divert our management attention and resources, which in turn could adversely affect our business, results of operations and financial condition.</w:t>
      </w:r>
    </w:p>
    <w:p>
      <w:pPr>
        <w:spacing w:after="0" w:line="288"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senior management and other key personnel are unable to work together effectively or efficiently or if we lose their services, our business may be severely affected.</w:t>
      </w:r>
    </w:p>
    <w:p>
      <w:pPr>
        <w:spacing w:after="0" w:line="53" w:lineRule="exact"/>
        <w:rPr>
          <w:sz w:val="20"/>
          <w:szCs w:val="20"/>
          <w:color w:val="auto"/>
        </w:rPr>
      </w:pPr>
    </w:p>
    <w:p>
      <w:pPr>
        <w:ind w:left="200" w:right="80" w:firstLine="434"/>
        <w:spacing w:after="0" w:line="250" w:lineRule="auto"/>
        <w:rPr>
          <w:sz w:val="20"/>
          <w:szCs w:val="20"/>
          <w:color w:val="auto"/>
        </w:rPr>
      </w:pPr>
      <w:r>
        <w:rPr>
          <w:rFonts w:ascii="Times New Roman" w:cs="Times New Roman" w:eastAsia="Times New Roman" w:hAnsi="Times New Roman"/>
          <w:sz w:val="18"/>
          <w:szCs w:val="18"/>
          <w:color w:val="auto"/>
        </w:rPr>
        <w:t>The continued services of our senior management and other key personnel are important to our continued success. If they cannot work together effectively or efficiently, our business may be severely disrupted. If one or more of our senior management members was unable or unwilling to continue in their present positions, we might not be able to replace them easily or at all, and our business, results of operations and financial condition may be materially and adversely affected. If any of our senior management joins a competitor or forms a competing business, we face the risk of losing other key personnel, our instructors, technology and R&amp;D and other staff, as well as our learners. Our senior management has entered into employment agreements with us which contain confidentiality clauses, as well as standalone confidentiality and non-compete agreements. However, if any dispute arises between our senior management and us, we may have to incur substantial costs and expenses in order to enforce such agreements in China or we may be unable to enforce them at all.</w:t>
      </w:r>
    </w:p>
    <w:p>
      <w:pPr>
        <w:spacing w:after="0" w:line="292" w:lineRule="exact"/>
        <w:rPr>
          <w:sz w:val="20"/>
          <w:szCs w:val="20"/>
          <w:color w:val="auto"/>
        </w:rPr>
      </w:pPr>
    </w:p>
    <w:p>
      <w:pPr>
        <w:ind w:left="200"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material weakness in our internal control over financial reporting has been identified, and if we fail to implement and maintain an effective system of internal control over financial reporting, we could be unable to accurately report our results of operations, meet our reporting obligations or prevent fraud, and investor confidence and the market price of the ADSs may be materially and adversely affected.</w:t>
      </w:r>
    </w:p>
    <w:p>
      <w:pPr>
        <w:spacing w:after="0" w:line="68"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and financial reporting personnel and other resources with which we address our internal control over financial reporting. In the course of preparing and auditing our consolidated financial statements as of and for the fiscal years ended June 30, 2021 and 2022, we and our independent registered public accounting firm identified one material weakness in our internal control over financial reporting as of June 30, 2022. As defined in the standards established by the PCAOB, a “material weakness” is a deficiency, or a combination of deficiencies, in internal control over financial reporting, such that there is a reasonable possibility that a material misstatement of our annual or interim consolidate financial statements will not be prevented or detected on a timely basis.</w:t>
      </w:r>
    </w:p>
    <w:p>
      <w:pPr>
        <w:spacing w:after="0" w:line="185"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relates to lack of sufficient financial reporting and accounting personnel with appropriate knowledge of U.S. GAAP and reporting requirements set forth by the SEC to properly address complex U.S. GAAP technical accounting issues, and to prepare and review the consolidated financial statements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320" w:top="452"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2" w:lineRule="auto"/>
        <w:rPr>
          <w:sz w:val="20"/>
          <w:szCs w:val="20"/>
          <w:color w:val="auto"/>
        </w:rPr>
      </w:pPr>
      <w:r>
        <w:rPr>
          <w:rFonts w:ascii="Times New Roman" w:cs="Times New Roman" w:eastAsia="Times New Roman" w:hAnsi="Times New Roman"/>
          <w:sz w:val="18"/>
          <w:szCs w:val="18"/>
          <w:color w:val="auto"/>
        </w:rPr>
        <w:t>and related disclosures in accordance with U.S. GAAP and financial reporting requirements set forth by the SEC. The material weakness, if not remediated timely, may lead to material misstatements in our consolidated financial statements in the future. Prior to preparing for this offering, neither we nor our independent registered public accounting firm had undertaken a comprehensive assessment of our internal control under the Sarbanes-Oxley Act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5"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To remedy our identified material weakness, we have begun to, and will continue to, improve our internal control over financial reporting. For details, see “Management’s Discussion and Analysis of Financial Condition and Results of Operations — Internal Control over Financial Reporting.” The implementation of these measures, however, may not fully address the material weakness identified in our internal control over financial reporting, and we cannot conclude that it has been fully remedied. Our failure to correct the material weakness or our failure to discover and address any other material weaknesses or deficiencies could result in inaccuracies in our financial statements and impair our ability to comply with applicable financial reporting requirements and related regulatory filings on a timely basis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Moreover, ineffective internal control over financial reporting could significantly hinder our ability to prevent fraud.</w:t>
      </w:r>
    </w:p>
    <w:p>
      <w:pPr>
        <w:spacing w:after="0" w:line="187"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7"/>
          <w:szCs w:val="17"/>
          <w:color w:val="auto"/>
        </w:rPr>
        <w:t>We are subject to the Sarbanes-Oxley Act of 2002. Section 404 of the Sarbanes-Oxley Act (the “Section 404”) requires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adverse opinion on our internal control over financial accounting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4"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 results of operations, financial condition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320" w:top="452"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our competitive position and ability to generate revenues may be materially and adversely affected.</w:t>
      </w:r>
    </w:p>
    <w:p>
      <w:pPr>
        <w:spacing w:after="0" w:line="116"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The technology used in online learning services may evolve rapidly. We must anticipate and adapt to such technological changes in a timely fashion, including but not limited to those relating to live broadcasting, data analytics and artificial intelligence. If we fail to upgrade our existing technologies or adopt new technologies important to our business, our ability to enhance and expand our course and other offerings, enlarge our learner base and encourage spending on our course and other offerings may be impaired. As a result, our business, results of operations and financial condition may be materially and adversely affected.</w:t>
      </w:r>
    </w:p>
    <w:p>
      <w:pPr>
        <w:spacing w:after="0" w:line="288" w:lineRule="exact"/>
        <w:rPr>
          <w:sz w:val="20"/>
          <w:szCs w:val="20"/>
          <w:color w:val="auto"/>
        </w:rPr>
      </w:pPr>
    </w:p>
    <w:p>
      <w:pPr>
        <w:ind w:left="20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change, disruption, discontinuity in the features and functions of major social media in China could materially and adversely affect our business, results of operations and financial condition.</w:t>
      </w:r>
    </w:p>
    <w:p>
      <w:pPr>
        <w:spacing w:after="0" w:line="53"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We leverage social media in China as a tool for learner acquisition and engagement. For instance, we acquire new learners through social media, such as Weixin, Douyin and Kuaishou, and our course operations depend in part on Weixin. To the extent that we fail to leverage such platforms, our ability to attract or retain learners may be severely harmed. If any of these platforms makes changes to its functions or support unfavorable to us, or even stops offering its functions or support to us, we may not be able to locate alternative platforms of similar scale to provide similar functions or support on commercially reasonable terms in a timely manner, or at all. Furthermore, we may fail to establish or maintain relationships with additional social network operators to support the growth of our business on economically viable terms, or at all. Any interruption to or discontinuation of our relationships with major social network operators in China may severely and negatively impact our ability to continue growing our learner base, and any occurrence of the circumstances mentioned above may have a material adverse effect on our business, results of operations and financial condition.</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platforms incorporate open-source software, which may pose risks and uncertainties in a manner that negatively affects our business.</w:t>
      </w:r>
    </w:p>
    <w:p>
      <w:pPr>
        <w:spacing w:after="0" w:line="116"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We currently use certain open-source software on our online platforms and will continue to do so in the future. There is a risk that open-source software licenses could be construed in a manner that imposes unanticipated conditions or restrictions on our ability to provide or distribute our content on our online platforms. Additionally, we may face claims from third parties claiming ownership of, or demanding release of, the open-source software or derivative works that we developed using such software.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As a result, our business, results of operations and financial condition might be adversely and materially affected.</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third-party payment processing.</w:t>
      </w:r>
    </w:p>
    <w:p>
      <w:pPr>
        <w:spacing w:after="0" w:line="116"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accept payments through major third-party online payment channels in China and bank transfers from our customers. We may also be susceptible to fraud, user data leakage and other illegal activities in connection with the various payment methods we offer. In addition, our business depends on the billing, payment and escrow systems of the third-party payment service providers to maintain accurate records of payments by customers and collect such payments. If the quality, utility, convenience or attractiveness of these payment processing and escrow services declines, or if we have to change the pattern of using these payment services for any reason, the attractiveness of our company could be materially and adversely affected. We are also subject to various rules, regulations and requirements, regulatory or otherwise, governing electronic funds transfers which could change or be reinterpreted to make it difficult or impossible for us to comply. If we fail to comply with these rules or requirements, we may be subject to fines and higher transaction fees and become unable to accept the current online payments solutions from customers, and our business, financial condition and results of</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40"/>
          </w:cols>
          <w:pgMar w:left="320" w:top="452"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80"/>
        <w:spacing w:after="0" w:line="305" w:lineRule="auto"/>
        <w:rPr>
          <w:sz w:val="20"/>
          <w:szCs w:val="20"/>
          <w:color w:val="auto"/>
        </w:rPr>
      </w:pPr>
      <w:r>
        <w:rPr>
          <w:rFonts w:ascii="Times New Roman" w:cs="Times New Roman" w:eastAsia="Times New Roman" w:hAnsi="Times New Roman"/>
          <w:sz w:val="17"/>
          <w:szCs w:val="17"/>
          <w:color w:val="auto"/>
        </w:rPr>
        <w:t>operations could be materially and adversely affected. Business involving online payment services is subject to a number of risks that could materially and adversely affect third-party online payment service providers’ ability to provide payment processing and escrow services to us, including:</w:t>
      </w:r>
    </w:p>
    <w:p>
      <w:pPr>
        <w:spacing w:after="0" w:line="48" w:lineRule="exact"/>
        <w:rPr>
          <w:sz w:val="20"/>
          <w:szCs w:val="20"/>
          <w:color w:val="auto"/>
        </w:rPr>
      </w:pPr>
    </w:p>
    <w:p>
      <w:pPr>
        <w:ind w:left="1160" w:hanging="429"/>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w:t>
      </w:r>
    </w:p>
    <w:p>
      <w:pPr>
        <w:spacing w:after="0" w:line="125" w:lineRule="exact"/>
        <w:rPr>
          <w:rFonts w:ascii="Times New Roman" w:cs="Times New Roman" w:eastAsia="Times New Roman" w:hAnsi="Times New Roman"/>
          <w:sz w:val="18"/>
          <w:szCs w:val="18"/>
          <w:color w:val="auto"/>
        </w:rPr>
      </w:pPr>
    </w:p>
    <w:p>
      <w:pPr>
        <w:ind w:left="1160" w:hanging="429"/>
        <w:spacing w:after="0" w:line="275" w:lineRule="auto"/>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third-party online payment service providers;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customers’ personal information and concerns over the use and security of in-formation collected from buyers;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125" w:lineRule="exact"/>
        <w:rPr>
          <w:rFonts w:ascii="Times New Roman" w:cs="Times New Roman" w:eastAsia="Times New Roman" w:hAnsi="Times New Roman"/>
          <w:sz w:val="18"/>
          <w:szCs w:val="18"/>
          <w:color w:val="auto"/>
        </w:rPr>
      </w:pPr>
    </w:p>
    <w:p>
      <w:pPr>
        <w:ind w:left="1160" w:right="280" w:hanging="429"/>
        <w:spacing w:after="0" w:line="275" w:lineRule="auto"/>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limited business insurance coverage.</w:t>
      </w:r>
    </w:p>
    <w:p>
      <w:pPr>
        <w:spacing w:after="0" w:line="116"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Insurance companies in China currently do not offer as extensive an array of insurance products as insurance companies in more developed economies. We rarely maintain liability insurance or property insurance policies covering users, equipment and facilities for injuries, death or losses due to fire, earthquake, flood or any other disaster. Consistent with customary industry practice in China, we rarely maintain any business interruption insurance or key-man life insurance.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our leased properties.</w:t>
      </w:r>
    </w:p>
    <w:p>
      <w:pPr>
        <w:spacing w:after="0" w:line="11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We lease real properties from third parties primarily for our offices in China, and the lease agreements for most of these leased properties have not been registered with the PRC government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those of our lease agreements that have not been registered with the relevant PRC government authorities. As of the date of this prospectus, we are not aware of any regulatory or governmental actions, claims or investigations being contemplated or any challenges by third parties to our use of such leased properties. However, we cannot assure you that the government authorities will not impose fines on us due to our failure to register any of our lease agreements, which may negatively impact our financial condition. In addition, the ownership certificates or other similar proof of some of our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this occurs, we may have to renegotiate the leases with the owners or other parties who have the right to lease the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452"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properties, and the terms of the new leases may be less favorable to us. In addition, in the event that our use of properties is successfully challenged, we may be forced to relocate. As of the date of this prospectus, we are not aware of any claim or challenge brought by any third parties against us or our lessors with respect to the defects in our leasehold interests. We cannot assure you that suitable alternative locations are readily available on commercially reasonable terms, or at all, and we may be unable to relocate our offices in a timely manner, which may adversely affect our business.</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social insurance and housing fund as required by PRC regulations may subject us to penalties.</w:t>
      </w:r>
    </w:p>
    <w:p>
      <w:pPr>
        <w:spacing w:after="0" w:line="116"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In accordance with the PRC Social Insurance Law and the Administrative Measures on Housing Fund and other relevant laws and regulations, an employer is required to pay basic pension insurance, basic medical insurance, work-related injury insurance, unemployment insurance, maternity insurance and housing fund (the “Employee Benefits”), for its employees in accordance with the rates provided under relevant regulations and withhold the Employee Benefits that should be assumed by the employees. We have not made sufficient contribution of the Employee Benefits for some employees. We have been, and may, from time to time, be subject to case-by-case requests to make up for our insufficient contributions to the Employee Benefits and/or, if any, the associated late fees or fines. We have made adequate provision in relation to the insufficient contribution of the Employee Benefits in our financial statements. However, we cannot assure you that the relevant government authorities will not, in the future, require us to pay the outstanding amount and impose late fees or fines on us, in which case our business, results of operations and financial condition may be adversely affected.</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Increases in labor costs, inflation and implementation of stricter labor laws in the PRC may adversely affect our business and results of operations.</w:t>
      </w:r>
    </w:p>
    <w:p>
      <w:pPr>
        <w:spacing w:after="0" w:line="128" w:lineRule="exact"/>
        <w:rPr>
          <w:sz w:val="20"/>
          <w:szCs w:val="20"/>
          <w:color w:val="auto"/>
        </w:rPr>
      </w:pPr>
    </w:p>
    <w:p>
      <w:pPr>
        <w:ind w:left="200" w:right="100" w:firstLine="434"/>
        <w:spacing w:after="0" w:line="250" w:lineRule="auto"/>
        <w:rPr>
          <w:sz w:val="20"/>
          <w:szCs w:val="20"/>
          <w:color w:val="auto"/>
        </w:rPr>
      </w:pPr>
      <w:r>
        <w:rPr>
          <w:rFonts w:ascii="Times New Roman" w:cs="Times New Roman" w:eastAsia="Times New Roman" w:hAnsi="Times New Roman"/>
          <w:sz w:val="18"/>
          <w:szCs w:val="18"/>
          <w:color w:val="auto"/>
        </w:rPr>
        <w:t>Under the PRC Labor Contract Law, employees have the right, among others, to have written employment contracts, to enter into employment contracts with no fixed term under certain circumstances, to receive overtime wages and to terminate or alter terms in labor contracts. Because the PRC government authorities have introduced various new labor-related regulations since the PRC Labor Contract Law took effect, and the interpretation and implementation of these regulations are still evolving, our employment practice could violate the PRC Labor Contract Law and related regulations and could be subject to related penalties, fines or legal fees. We have been, and may in the future be, subject to certain employment related disputes from time to time. We cannot assure you that we will not be subject to any material labor disputes or penalties from regulatory authorities in the future. If we are subject to severe penalties or incur significant legal fees in connection with labor law disputes or investigations, our business, results of operations and financial condition may be adversely affected.</w:t>
      </w:r>
    </w:p>
    <w:p>
      <w:pPr>
        <w:spacing w:after="0" w:line="190" w:lineRule="exact"/>
        <w:rPr>
          <w:sz w:val="20"/>
          <w:szCs w:val="20"/>
          <w:color w:val="auto"/>
        </w:rPr>
      </w:pPr>
    </w:p>
    <w:p>
      <w:pPr>
        <w:ind w:left="200" w:firstLine="434"/>
        <w:spacing w:after="0" w:line="276" w:lineRule="auto"/>
        <w:rPr>
          <w:sz w:val="20"/>
          <w:szCs w:val="20"/>
          <w:color w:val="auto"/>
        </w:rPr>
      </w:pPr>
      <w:r>
        <w:rPr>
          <w:rFonts w:ascii="Times New Roman" w:cs="Times New Roman" w:eastAsia="Times New Roman" w:hAnsi="Times New Roman"/>
          <w:sz w:val="17"/>
          <w:szCs w:val="17"/>
          <w:color w:val="auto"/>
        </w:rPr>
        <w:t>China’s overall economy and the average salary have increased in recent years and are expected to continue to grow. The average salary level for our employees has also increased in recent years. We expect that our labor costs, including salaries and employee benefits, will continue to increase. Unless we are able to pass on these increased labor costs to our customers by attracting new paying learners, increase learners’ spending on our offerings or increasing the prices of our offerings, our business, results of operations and financial condition would be materially and adversely affected.</w:t>
      </w:r>
    </w:p>
    <w:p>
      <w:pPr>
        <w:spacing w:after="0" w:line="267" w:lineRule="exact"/>
        <w:rPr>
          <w:sz w:val="20"/>
          <w:szCs w:val="20"/>
          <w:color w:val="auto"/>
        </w:rPr>
      </w:pPr>
    </w:p>
    <w:p>
      <w:pPr>
        <w:ind w:left="20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evaluate and potentially consummate investments and acquisitions or enter into alliances, which may require significant management attention and adversely affect our business operations, results of operations and financial condition.</w:t>
      </w:r>
    </w:p>
    <w:p>
      <w:pPr>
        <w:spacing w:after="0" w:line="53"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We may evaluate and consider strategic investments, combinations, acquisitions or alliances to further increase the value of our platforms and better serve our learners and enterprise customers. We may not be able to identify suitable strategic alliances or acquisition opportunities, complete such transactions on commercially favorable terms, or successfully integrate business operations, infrastructure and management philosophies of</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40"/>
          </w:cols>
          <w:pgMar w:left="320" w:top="452"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0" w:lineRule="auto"/>
        <w:rPr>
          <w:sz w:val="20"/>
          <w:szCs w:val="20"/>
          <w:color w:val="auto"/>
        </w:rPr>
      </w:pPr>
      <w:r>
        <w:rPr>
          <w:rFonts w:ascii="Times New Roman" w:cs="Times New Roman" w:eastAsia="Times New Roman" w:hAnsi="Times New Roman"/>
          <w:sz w:val="18"/>
          <w:szCs w:val="18"/>
          <w:color w:val="auto"/>
        </w:rPr>
        <w:t>acquired businesses and companies. Furthermore, these transactions could be material to our business if consummated. We may not have the financial resources necessary to consummate any acquisitions in the future or the ability to obtain the necessary funds on satisfactory terms. There may be particular complexities, regulatory or otherwise, associated with further expansion into new markets, and our strategies may not succeed beyond our and current markets. Any future acquisitions may also result in significant transaction expenses in addition to integration and consolidation risks. Because acquisitions historically have not been a core part of our growth strategy, we have no material experience in successfully utilizing acquisitions. We may not have sufficient management, financial and other resources to integrate any such future acquisitions or to successfully operate new businesses, and we may be unable to profitably operate our expanded company. If we are unable to effectively address these challenges, our ability to execute acquisitions will be impaired, which could have an adverse effect on our growth.</w:t>
      </w:r>
    </w:p>
    <w:p>
      <w:pPr>
        <w:spacing w:after="0" w:line="292" w:lineRule="exact"/>
        <w:rPr>
          <w:sz w:val="20"/>
          <w:szCs w:val="20"/>
          <w:color w:val="auto"/>
        </w:rPr>
      </w:pPr>
    </w:p>
    <w:p>
      <w:pPr>
        <w:ind w:left="20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53"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color w:val="auto"/>
        </w:rPr>
        <w:t>We rely on certain key operating metrics, such as the number of registered users, introductory course learners and paying learners, among other things,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and certain external data.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seasonal fluctuations.</w:t>
      </w:r>
    </w:p>
    <w:p>
      <w:pPr>
        <w:spacing w:after="0" w:line="116"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color w:val="auto"/>
        </w:rPr>
        <w:t>We generally face a higher number of learners on our platforms in summer vacations and other long holidays when the adults have more spare time for learning, as well as when our and the overall marketing and promotional activities are more active. See “Management’s Discussion and Analysis of Financial Condition and Results of Operations — Selected Quarterly Results of Operations.” Overall, the historical seasonality of our business has been relatively mild due to our rapid growth, but seasonality may increase in the future. Due to our limited history, the seasonal trends that we have experienced in the past may not be indicative of our future prospects. Our results of operations and financial condition for future periods may continue to fluctuate. As a result, the trading price of the ADSs may fluctuate from time to time due to seasonality.</w:t>
      </w:r>
    </w:p>
    <w:p>
      <w:pPr>
        <w:spacing w:after="0" w:line="288" w:lineRule="exact"/>
        <w:rPr>
          <w:sz w:val="20"/>
          <w:szCs w:val="20"/>
          <w:color w:val="auto"/>
        </w:rPr>
      </w:pPr>
    </w:p>
    <w:p>
      <w:pPr>
        <w:ind w:left="200" w:right="7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adopted share option plans and expect to grant share-based awards under such plans, which may result in increasing share-based compensation expenses.</w:t>
      </w:r>
    </w:p>
    <w:p>
      <w:pPr>
        <w:spacing w:after="0" w:line="53" w:lineRule="exact"/>
        <w:rPr>
          <w:sz w:val="20"/>
          <w:szCs w:val="20"/>
          <w:color w:val="auto"/>
        </w:rPr>
      </w:pPr>
    </w:p>
    <w:p>
      <w:pPr>
        <w:ind w:left="200" w:right="40" w:firstLine="434"/>
        <w:spacing w:after="0" w:line="249" w:lineRule="auto"/>
        <w:rPr>
          <w:sz w:val="20"/>
          <w:szCs w:val="20"/>
          <w:color w:val="auto"/>
        </w:rPr>
      </w:pPr>
      <w:r>
        <w:rPr>
          <w:rFonts w:ascii="Times New Roman" w:cs="Times New Roman" w:eastAsia="Times New Roman" w:hAnsi="Times New Roman"/>
          <w:sz w:val="18"/>
          <w:szCs w:val="18"/>
          <w:color w:val="auto"/>
        </w:rPr>
        <w:t>In connection with our restructuring and spin-off, we adopted our 2018 share incentive plan (the “2018 Plan”) and 2021 global share plan (the “2021 Plan”) in May 2022 to reflect the respective interests of grantees prior to the restructuring and spin-off and to provide for future incentive grants to our employees, directors and consultants. Under the 2018 Plan and the 2021 Plan, the maximum aggregate number of shares which may be issued pursuant to all awards is 21,717,118 shares. Effective upon the completion of this offering, an additional number of Class A ordinary shares equal to 10% of the total issued and outstanding ordinary shares immediately upon the completion of this offering (without taking into account of the number of shares issuable pursuant to the exercise of the underwriters’ option to purchase additional ADSs in this offering) will be reserved for the 2021 Plan. As of the date of this prospectus, options to purchase a total of 18,640,751 ordinary shares have been granted and not exercised under the 2021 Plan, and no options have been granted under the 2018 Plan. We recorded share-based compensation of RMB101.8 million, RMB291.4 million (US$41.0 million), RMB29.1 million and RMB46.4 million (US$6.5 million) for the fiscal years ended June 30, 2021 and 2022 and the three months ended September 30, 2021 and 2022, respectively. We may continue to record significant share-based compensation expenses in relation to such share option grants. We expect to grant awards under such plans,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40"/>
          </w:cols>
          <w:pgMar w:left="320" w:top="452"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which we believe is of significant importance to our ability to attract and retain key personnel and employees and may therefore record additional amount of share-based compensation expenses. See “Management — Share Incentive Plans” for details. As a result, our expenses associated with share-based compensation may increase, which may have an adverse effect on our results of operations and financial condition.</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performance of the internet infrastructure and telecommunications networks in China is critical to our business.</w:t>
      </w:r>
    </w:p>
    <w:p>
      <w:pPr>
        <w:spacing w:after="0" w:line="116"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The performance of the internet infrastructure and telecommunications networks in China is critical to our business. Almost all access to the internet is maintained through state-owned telecommunications operators under the administrative control and regulatory supervision of the Ministry of Industry and Information Technology of the PRC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With the expansion of our business, we may be required to upgrade our technology and infrastructure to keep up with the increasing traffic on our online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to pursue our business objectives.</w:t>
      </w:r>
    </w:p>
    <w:p>
      <w:pPr>
        <w:spacing w:after="0" w:line="116" w:lineRule="exact"/>
        <w:rPr>
          <w:sz w:val="20"/>
          <w:szCs w:val="20"/>
          <w:color w:val="auto"/>
        </w:rPr>
      </w:pPr>
    </w:p>
    <w:p>
      <w:pPr>
        <w:ind w:left="200" w:right="100" w:firstLine="434"/>
        <w:spacing w:after="0" w:line="251" w:lineRule="auto"/>
        <w:rPr>
          <w:sz w:val="20"/>
          <w:szCs w:val="20"/>
          <w:color w:val="auto"/>
        </w:rPr>
      </w:pPr>
      <w:r>
        <w:rPr>
          <w:rFonts w:ascii="Times New Roman" w:cs="Times New Roman" w:eastAsia="Times New Roman" w:hAnsi="Times New Roman"/>
          <w:sz w:val="18"/>
          <w:szCs w:val="18"/>
          <w:color w:val="auto"/>
        </w:rPr>
        <w:t>We may need to raise additional capital to respond to business challenges or opportunities, accelerate our growth, develop new offerings or enhance our technological capacities. Due to the unpredictable nature of the capital markets and our industry, we cannot assure you that we will be able to raise additional capital on terms favorable to us, or at all, if and when required, especially if we experience disappointing results of operations. If adequate capital is not available to us as required, our ability to fund operations, take advantage of unanticipated opportunities, develop or enhance our infrastructure or respond to competitive pressures could be significantly limited.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spacing w:after="0" w:line="289" w:lineRule="exact"/>
        <w:rPr>
          <w:sz w:val="20"/>
          <w:szCs w:val="20"/>
          <w:color w:val="auto"/>
        </w:rPr>
      </w:pPr>
    </w:p>
    <w:p>
      <w:pPr>
        <w:ind w:left="20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unusual weather conditions, power outages, pandemic outbreaks, terrorist acts, global political events and other extraordinary events could materially and adversely affect our results of operations, financial condition and future prospects.</w:t>
      </w:r>
    </w:p>
    <w:p>
      <w:pPr>
        <w:spacing w:after="0" w:line="53"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In addition to the impact of COVID-19, natural disasters, such as fires, earthquakes, hurricanes, floods, tornadoes, unusual weather conditions, power outages, other pandemic outbreaks, terrorist acts or disruptive global political events, or similar disruptions could materially and adversely affect our business operations and financial performance. These events could result in server interruptions, breakdowns, system failures, technology platform failures or internet failures, which could cause the loss or corruption of data or malfunctions of software, hardware, storage and network. Any interruptions to our live streaming capabilities due to extraordinary event can materially affect our ability to grow our learner base and impair our user experience, disrupt normal business operations, and be detrimental to our reputation and growth prospects. In addition, in recent years, there have been other breakouts of epidemics in China and globally. Normal business operations could be disrupted if one of our employees is suspected of having H1N1 flu, avian flu, or another epidemic, since it could require our employees to be quarantined and/or our offices to be disinfected. Our results of operations could be also adversely affected to the extent that any of the extraordinary events harms the PRC economy in general.</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40"/>
          </w:cols>
          <w:pgMar w:left="320" w:top="452"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0" w:lineRule="exact"/>
        <w:rPr>
          <w:sz w:val="20"/>
          <w:szCs w:val="20"/>
          <w:color w:val="auto"/>
        </w:rPr>
      </w:pPr>
    </w:p>
    <w:p>
      <w:pPr>
        <w:ind w:left="200"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deems that our contractual arrangements with the VIE do not comply with PRC regulatory restrictions on foreign investment in the relevant industries, or if these regulations or the interpretation of existing regulations change in the future, the ADSs may decline in value or become worthless if we are unable to assert our contractual control rights over the assets of the affiliated entities that conduct substantially all of the revenue-generating operations.</w:t>
      </w:r>
    </w:p>
    <w:p>
      <w:pPr>
        <w:spacing w:after="0" w:line="75"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In June 2018, MOFCOM and the National Development and Reform Commission (the “NDRC”) promulgated the Special Administrative Measures (Negative List) for Foreign Investment Access (the “Negative List”), which became effective on July 28, 2018, in order to amend the Guidance Catalog of Industries for Foreign Investment. The Negative List was latest amended on December 27, 2021. Pursuant to the latest Negative List, foreign ownership in entities that provide internet and other related businesses, including but not limited to, certain value-added telecommunication services, internet audio-visual program services and radio and television program production and operation, is subject to restrictions under current PRC laws and regulations, unless certain exceptions are available. Specifically, the operation of certain value-added telecommunications services is considered as “restricted,” while the provision of radio and television program production and operation and the internet audio-visual program services are considered as “prohibited.”</w:t>
      </w:r>
    </w:p>
    <w:p>
      <w:pPr>
        <w:spacing w:after="0" w:line="190"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QuantaSing Group Limited is a Cayman Islands holding company with no substantive operations. Beijing Liangzizhige, our WFOE, is our wholly-owned PRC subsidiary and a foreign-invested enterprise under PRC laws. Accordingly, our WFOE is not eligible to engage in businesses that are subject to foreign ownership restriction under the PRC laws. We currently conduct our business in China through the contractual arrangements entered into by our WFOE with the VIE based in China. Investors in the ADSs are purchasing the equity securities of QuantaSing Group Limited, the Cayman Islands holding company, rather than the equity securities of the VIE or its subsidiaries. Our WFOE has entered into a series of contractual arrangements with the VIE and its shareholder, which enable us to (1) be considered as the primary beneficiary of the VIE for accounting purposes and consolidate the financial results of the affiliated entities, (2) receive substantially all of the economic benefits of the affiliated entities, (3) have the pledge right over the equity interests in the VIE as the pledgee, and (4) have an exclusive option to purchase all or part of the equity interests in the VIE when and to the extent permitted by PRC law. We have been and expect to continue to be dependent on the affiliated entities to operate our business in China. As a result of these contractual arrangements, we are the primary beneficiary of the VIE and consolidate the financial results of the affiliated entities under U.S. GAAP. See “Corporate History and Structure” for details.</w:t>
      </w:r>
    </w:p>
    <w:p>
      <w:pPr>
        <w:spacing w:after="0" w:line="191"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In the opinion of our PRC counsel, CM Law Firm, (1) the ownership structures of our WFOE and the VIE in China are not in any violation of the applicable PRC laws or regulations currently in effect; and (2) the agreements under the contractual arrangements among our WFOE, the VIE and its shareholder governed by PRC law are valid and binding upon each party to such agreements and enforceable against each party thereto in accordance with their terms and applicable PRC laws and regulations currently in effect. However, we have been further advised by our PRC counsel that there are substantial uncertainties regarding the interpretation and application of current or future PRC laws and regulations. The PRC government may ultimately take a view contrary to or otherwise different from the opinion of our PRC counsel. As of the date of this prospectus, the agreements under the contractual arrangements among our WFOE, the VIE and its shareholder have not been tested in a court of law. If the PRC government otherwise find that we are in violation of any existing or future PRC laws or regulations or lack the necessary permits or licenses to operate our business, the relevant government authorities would have broad discretion in dealing with such violation, including, without limitation:</w:t>
      </w:r>
    </w:p>
    <w:p>
      <w:pPr>
        <w:spacing w:after="0" w:line="94" w:lineRule="exact"/>
        <w:rPr>
          <w:sz w:val="20"/>
          <w:szCs w:val="20"/>
          <w:color w:val="auto"/>
        </w:rPr>
      </w:pPr>
    </w:p>
    <w:p>
      <w:pPr>
        <w:ind w:left="1160" w:hanging="429"/>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and/or operating licenses;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any related-party transactions between our company and the VIE;</w:t>
      </w:r>
    </w:p>
    <w:p>
      <w:pPr>
        <w:spacing w:after="0" w:line="125" w:lineRule="exact"/>
        <w:rPr>
          <w:rFonts w:ascii="Times New Roman" w:cs="Times New Roman" w:eastAsia="Times New Roman" w:hAnsi="Times New Roman"/>
          <w:sz w:val="18"/>
          <w:szCs w:val="18"/>
          <w:color w:val="auto"/>
        </w:rPr>
      </w:pPr>
    </w:p>
    <w:p>
      <w:pPr>
        <w:ind w:left="1160" w:right="380" w:hanging="429"/>
        <w:spacing w:after="0" w:line="275"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and penalties, confiscating the income that they deem to be obtained through illegal operations, or imposing additional operational requirements which we or the VIE may not be able to comply with;</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452"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1160" w:right="100" w:hanging="429"/>
        <w:spacing w:after="0" w:line="261"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and deregistering the share pledges of the VIE, which in turn would affect our ability to consolidate, derive economic interests from, or effectively exercise our contractual rights over the VIE and their assets and operations;</w:t>
      </w:r>
    </w:p>
    <w:p>
      <w:pPr>
        <w:spacing w:after="0" w:line="82" w:lineRule="exact"/>
        <w:rPr>
          <w:rFonts w:ascii="Times New Roman" w:cs="Times New Roman" w:eastAsia="Times New Roman" w:hAnsi="Times New Roman"/>
          <w:sz w:val="18"/>
          <w:szCs w:val="18"/>
          <w:color w:val="auto"/>
        </w:rPr>
      </w:pPr>
    </w:p>
    <w:p>
      <w:pPr>
        <w:ind w:left="1160" w:right="120" w:hanging="429"/>
        <w:spacing w:after="0" w:line="275"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this offering to finance the business and operations of our subsidiary and the affiliated entities in China, particularly the expansion of our business through strategic acquisitions;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use of financing sources by us or the VIE or otherwise restricting our or their ability to conduct business;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18" w:lineRule="exact"/>
        <w:rPr>
          <w:sz w:val="20"/>
          <w:szCs w:val="20"/>
          <w:color w:val="auto"/>
        </w:rPr>
      </w:pPr>
    </w:p>
    <w:p>
      <w:pPr>
        <w:ind w:left="200" w:right="180" w:firstLine="434"/>
        <w:spacing w:after="0" w:line="270" w:lineRule="auto"/>
        <w:rPr>
          <w:sz w:val="20"/>
          <w:szCs w:val="20"/>
          <w:color w:val="auto"/>
        </w:rPr>
      </w:pPr>
      <w:r>
        <w:rPr>
          <w:rFonts w:ascii="Times New Roman" w:cs="Times New Roman" w:eastAsia="Times New Roman" w:hAnsi="Times New Roman"/>
          <w:sz w:val="17"/>
          <w:szCs w:val="17"/>
          <w:color w:val="auto"/>
        </w:rPr>
        <w:t>Any of these events could cause significant disruption to our operations and materially and adversely affect our reputation, business, results of operations and financial condition. If the PRC government determines that the contractual arrangements and/or the VIE structure do not comply with PRC regulations, or if these regulations change or are interpreted differently in the future, we may be unable to direct the VIE’s activities in China that significantly impact its economic performance and/or to receive the economic benefits and residual returns from the VIE, and we are unable to restructure our ownership structure and our operations in a satisfactory manner, we may not be able to consolidate the financial results of the affiliated entities in our consolidated financial statements in accordance with U.S. GAAP, and the ADSs may decline in value or become worthless.</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contractual arrangements with the VIE and its shareholder may be less effective than direct ownership in providing operational control.</w:t>
      </w:r>
    </w:p>
    <w:p>
      <w:pPr>
        <w:spacing w:after="0" w:line="116"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 and its shareholder to conduct our operations in China. These contractual arrangements, however, may be less effective than direct ownership in providing us with operational control over the VIE. For instance, the VIE and its shareholder could breach their contractual arrangements with us by, among other things, failing to conduct the operations of the VIE in an acceptable manner or taking other actions that are detrimental to our interests.</w:t>
      </w:r>
    </w:p>
    <w:p>
      <w:pPr>
        <w:spacing w:after="0" w:line="181"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If we had direct ownership of the VIE in China,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shareholder of their obligations under the contracts to direct the VIE’s activities. The shareholder of the VIE may not act in the best interests of our company or may not perform its obligations under these contracts.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 We face uncertainty with respect to the enforceability of the contractual arrangements with the VIE and its shareholder, and any failure by the VIE or its shareholder to perform their obligations under our contractual arrangements with them would have a material and adverse effect on our business.”</w:t>
      </w:r>
    </w:p>
    <w:p>
      <w:pPr>
        <w:spacing w:after="0" w:line="277" w:lineRule="exact"/>
        <w:rPr>
          <w:sz w:val="20"/>
          <w:szCs w:val="20"/>
          <w:color w:val="auto"/>
        </w:rPr>
      </w:pPr>
    </w:p>
    <w:p>
      <w:pPr>
        <w:jc w:val="both"/>
        <w:ind w:left="200" w:right="6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We face uncertainty with respect to the enforceability of the contractual arrangements with the VIE and its shareholder, and any failure by the VIE or its shareholder to perform their obligations under our contractual arrangements with them would have a material adverse effect on our business.</w:t>
      </w:r>
    </w:p>
    <w:p>
      <w:pPr>
        <w:spacing w:after="0" w:line="31"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If the VIE or its shareholder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instance, if the shareholder of the VIE were to refuse to transfer its equity interests in the VIE to us or our</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40"/>
          </w:cols>
          <w:pgMar w:left="320" w:top="452"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spacing w:after="0" w:line="252" w:lineRule="auto"/>
        <w:rPr>
          <w:sz w:val="20"/>
          <w:szCs w:val="20"/>
          <w:color w:val="auto"/>
        </w:rPr>
      </w:pPr>
      <w:r>
        <w:rPr>
          <w:rFonts w:ascii="Times New Roman" w:cs="Times New Roman" w:eastAsia="Times New Roman" w:hAnsi="Times New Roman"/>
          <w:sz w:val="18"/>
          <w:szCs w:val="18"/>
          <w:color w:val="auto"/>
        </w:rPr>
        <w:t>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the VIE, our ability to exercise shareholder’s rights or foreclose the share pledge according to the contractual arrangements may be impaired. If these or other disputes between the shareholder of the VIE and third parties were to impair our contractual control over the VIE, our ability to consolidate the financial results of the affiliated entities would be affected, which would in turn result in a material adverse effect our business, operations and financial condition.</w:t>
      </w:r>
    </w:p>
    <w:p>
      <w:pPr>
        <w:spacing w:after="0" w:line="185" w:lineRule="exact"/>
        <w:rPr>
          <w:sz w:val="20"/>
          <w:szCs w:val="20"/>
          <w:color w:val="auto"/>
        </w:rPr>
      </w:pPr>
    </w:p>
    <w:p>
      <w:pPr>
        <w:jc w:val="both"/>
        <w:ind w:left="200" w:right="120" w:firstLine="434"/>
        <w:spacing w:after="0" w:line="269" w:lineRule="auto"/>
        <w:rPr>
          <w:sz w:val="20"/>
          <w:szCs w:val="20"/>
          <w:color w:val="auto"/>
        </w:rPr>
      </w:pPr>
      <w:r>
        <w:rPr>
          <w:rFonts w:ascii="Times New Roman" w:cs="Times New Roman" w:eastAsia="Times New Roman" w:hAnsi="Times New Roman"/>
          <w:sz w:val="17"/>
          <w:szCs w:val="17"/>
          <w:color w:val="auto"/>
        </w:rPr>
        <w:t>All the agreements under our contractual arrangements with the VIE are governed by PRC law and provide for the resolution of disputes through arbitration in China. Accordingly, these contracts would be interpreted in accordance with PRC law and any disputes would be resolved in accordance with PRC legal procedures. However, uncertainties in the PRC legal system could limit our ability to enforce these contractual arrangements.</w:t>
      </w:r>
    </w:p>
    <w:p>
      <w:pPr>
        <w:ind w:left="200"/>
        <w:spacing w:after="0" w:line="263" w:lineRule="auto"/>
        <w:rPr>
          <w:sz w:val="20"/>
          <w:szCs w:val="20"/>
          <w:color w:val="auto"/>
        </w:rPr>
      </w:pPr>
      <w:r>
        <w:rPr>
          <w:rFonts w:ascii="Times New Roman" w:cs="Times New Roman" w:eastAsia="Times New Roman" w:hAnsi="Times New Roman"/>
          <w:sz w:val="17"/>
          <w:szCs w:val="17"/>
          <w:color w:val="auto"/>
        </w:rPr>
        <w:t>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contractual control over the VIE, and our ability to conduct our business may be negatively affected. See “— Risks Related to Doing Business in China — Uncertainties with respect to the PRC legal system could have a material adverse effect on our business, results of operations, financial condition and future prospects, and cause the ADSs to significantly decline in value or become worthless.”</w:t>
      </w:r>
    </w:p>
    <w:p>
      <w:pPr>
        <w:spacing w:after="0" w:line="283" w:lineRule="exact"/>
        <w:rPr>
          <w:sz w:val="20"/>
          <w:szCs w:val="20"/>
          <w:color w:val="auto"/>
        </w:rPr>
      </w:pPr>
    </w:p>
    <w:p>
      <w:pPr>
        <w:ind w:left="20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shareholder of the VIE may have actual or potential conflicts of interest with us, which may materially and adversely affect our business, results of operations and financial condition.</w:t>
      </w:r>
    </w:p>
    <w:p>
      <w:pPr>
        <w:spacing w:after="0" w:line="53"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The shareholder of the VIE may have actual or potential conflicts of interest with us. The shareholder may breach, or cause the VIE to breach, or refuse to renew, the existing contractual arrangements we have with the shareholder and the VIE, which would have a material and adverse effect on our ability to consolidate the financial results of the affiliated entities and receive economic benefits from them. For instance, the shareholder may be able to cause our agreements with the VIE to be performed in a manner adverse to us by, among other things, failing to remit payments due under the contractual arrangements to us on a timely basis. We cannot assure you that when conflicts of interest arise the shareholder will act in the best interests of our company or such conflicts will be resolved in our favor.</w:t>
      </w:r>
    </w:p>
    <w:p>
      <w:pPr>
        <w:spacing w:after="0" w:line="185"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do not currently have any arrangements to address potential conflicts of interest between the shareholder and our company, except that we could exercise our purchase option under the exclusive option agreement with the shareholder to request it to transfer all of its equity interests in the VIE to a PRC entity or individual designated by us, to the extent permitted by PRC law.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 of the VIE have executed powers of attorney to appoint our WFOE or a person designated by our WFOE to vote on its behalf and exercise voting rights as shareholder of our respective VIE. If we cannot resolve any conflict of interest or dispute between us and the shareholder of the VIE, we would have to rely on legal proceedings, which could result in disruption of our business and subject us to substantial uncertainty as to the outcome of any such legal proceedings.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2"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The shareholder of the VIE may be involved in disputes with third parties or other incidents that may have an adverse effect on their respective equity interests in the VIE and the validity or enforceability of our contractual arrangements with the VIE and its shareholder. For instance, if any of the equity interests of the VIE is assigned to a third party with whom the current contractual arrangements are not binding, we could lose our contractual control over the VIE or have to maintain such control by incurring unpredictable costs, which could cause significant disruptions to our business, results of operations and financial condition.</w:t>
      </w:r>
    </w:p>
    <w:p>
      <w:pPr>
        <w:spacing w:after="0" w:line="185"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Although under our current contractual arrangements, it is expressly provided that the VIE and its shareholder shall not assign any of their respective rights or obligations to any third party without the prior written consent of our WFOE, we cannot assure you that these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283" w:lineRule="exact"/>
        <w:rPr>
          <w:sz w:val="20"/>
          <w:szCs w:val="20"/>
          <w:color w:val="auto"/>
        </w:rPr>
      </w:pPr>
    </w:p>
    <w:p>
      <w:pPr>
        <w:ind w:left="20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 may be subject to scrutiny by the PRC tax authorities and they may determine that we or the VIE owe additional taxes, which could materially and adversely affect our financial condition and the value of your investment.</w:t>
      </w:r>
    </w:p>
    <w:p>
      <w:pPr>
        <w:spacing w:after="0" w:line="53"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 were not entered into on an arm’s length basis in such a way as to result in an impermissible reduction in taxes under applicable PRC laws, rules and regulations, and adjust income of the VIE in the form of a transfer pricing adjustment. A transfer pricing adjustment could, among other things, result in a reduction of expense deductions recorded by the VIE for PRC tax purposes, which could in turn increase their tax liabilities without reducing our WFOE’s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they are required to pay late fees and other penalties.</w:t>
      </w:r>
    </w:p>
    <w:p>
      <w:pPr>
        <w:spacing w:after="0" w:line="292" w:lineRule="exact"/>
        <w:rPr>
          <w:sz w:val="20"/>
          <w:szCs w:val="20"/>
          <w:color w:val="auto"/>
        </w:rPr>
      </w:pPr>
    </w:p>
    <w:p>
      <w:pPr>
        <w:ind w:left="200" w:right="20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Uncertainties exist with respect to the interpretation and implementation of the newly enacted Foreign Investment Law and how it may impact the viability of our current corporate structure, corporate governance, and our business, results of operations, financial condition and prospects.</w:t>
      </w:r>
    </w:p>
    <w:p>
      <w:pPr>
        <w:spacing w:after="0" w:line="31"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came into effect on January 1, 2020. Since it is relatively new, uncertainties exist in relation to its interpretation and implementation. The Foreign Investment Law does not explicitly classify whether variable interest entities that are controlled through contractual arrangements would be deemed as foreign invested enterprises if they are ultimately “controlled” by foreign investors. However,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 at which time it will be uncertain whether our contractual arrangements with the VIE will be deemed to be in violation of the market access requirements for foreign investment in China and if yes, how our contractual arrangements with the VIE should be dealt with.</w:t>
      </w:r>
    </w:p>
    <w:p>
      <w:pPr>
        <w:spacing w:after="0" w:line="187" w:lineRule="exact"/>
        <w:rPr>
          <w:sz w:val="20"/>
          <w:szCs w:val="20"/>
          <w:color w:val="auto"/>
        </w:rPr>
      </w:pPr>
    </w:p>
    <w:p>
      <w:pPr>
        <w:ind w:left="200" w:right="520" w:firstLine="434"/>
        <w:spacing w:after="0" w:line="272" w:lineRule="auto"/>
        <w:rPr>
          <w:sz w:val="20"/>
          <w:szCs w:val="20"/>
          <w:color w:val="auto"/>
        </w:rPr>
      </w:pPr>
      <w:r>
        <w:rPr>
          <w:rFonts w:ascii="Times New Roman" w:cs="Times New Roman" w:eastAsia="Times New Roman" w:hAnsi="Times New Roman"/>
          <w:sz w:val="17"/>
          <w:szCs w:val="17"/>
          <w:color w:val="auto"/>
        </w:rPr>
        <w:t>The Foreign Investment Law grants national treatment to foreign-invested entities, except for those foreign-invested entities that operate in industries specified as either “restricted” or “prohibited” from foreign investment in the Negative List. The Foreign Investment Law provides that</w:t>
      </w:r>
    </w:p>
    <w:p>
      <w:pPr>
        <w:spacing w:after="0" w:line="2" w:lineRule="exact"/>
        <w:rPr>
          <w:sz w:val="20"/>
          <w:szCs w:val="20"/>
          <w:color w:val="auto"/>
        </w:rPr>
      </w:pPr>
    </w:p>
    <w:p>
      <w:pPr>
        <w:ind w:left="200" w:right="260" w:hanging="1"/>
        <w:spacing w:after="0" w:line="250" w:lineRule="auto"/>
        <w:tabs>
          <w:tab w:leader="none" w:pos="4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foreign-invested entities operating in “restricted” industries are required to obtain market entry clearance and other approvals from relevant PRC government authorities; (2) foreign investors shall not invest in any industries that are “prohibited” under the Negative List. If our contractual control over the VIE through contractual arrangements are deemed as foreign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40"/>
          </w:cols>
          <w:pgMar w:left="320" w:top="452"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20"/>
        <w:spacing w:after="0" w:line="256" w:lineRule="auto"/>
        <w:rPr>
          <w:sz w:val="20"/>
          <w:szCs w:val="20"/>
          <w:color w:val="auto"/>
        </w:rPr>
      </w:pPr>
      <w:r>
        <w:rPr>
          <w:rFonts w:ascii="Times New Roman" w:cs="Times New Roman" w:eastAsia="Times New Roman" w:hAnsi="Times New Roman"/>
          <w:sz w:val="18"/>
          <w:szCs w:val="18"/>
          <w:color w:val="auto"/>
        </w:rPr>
        <w:t>investment in the future, and any business of the VIE is “restricted” or “prohibited” from foreign investment under the “negative list” effective at the time, we may be deemed to be in violation of the Foreign Investment Law, the contractual arrangements that allow us to have contractual control over the VIE may be deemed as invalid and illegal, and we may be required to unwind such contractual arrangements and/or restructure our business operations, any of which may have a material adverse effect on our business operations.</w:t>
      </w:r>
    </w:p>
    <w:p>
      <w:pPr>
        <w:spacing w:after="0" w:line="181"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corporate structure and our business operations.</w:t>
      </w:r>
    </w:p>
    <w:p>
      <w:pPr>
        <w:spacing w:after="0" w:line="283"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the assets held by the VIE that are material to the operations of certain portion of our business if the entities go bankrupt or become subject to a dissolution or liquidation proceeding.</w:t>
      </w:r>
    </w:p>
    <w:p>
      <w:pPr>
        <w:spacing w:after="0" w:line="53" w:lineRule="exact"/>
        <w:rPr>
          <w:sz w:val="20"/>
          <w:szCs w:val="20"/>
          <w:color w:val="auto"/>
        </w:rPr>
      </w:pPr>
    </w:p>
    <w:p>
      <w:pPr>
        <w:ind w:left="200" w:right="260" w:firstLine="434"/>
        <w:spacing w:after="0" w:line="251" w:lineRule="auto"/>
        <w:rPr>
          <w:sz w:val="20"/>
          <w:szCs w:val="20"/>
          <w:color w:val="auto"/>
        </w:rPr>
      </w:pPr>
      <w:r>
        <w:rPr>
          <w:rFonts w:ascii="Times New Roman" w:cs="Times New Roman" w:eastAsia="Times New Roman" w:hAnsi="Times New Roman"/>
          <w:sz w:val="18"/>
          <w:szCs w:val="18"/>
          <w:color w:val="auto"/>
        </w:rPr>
        <w:t>As part of our contractual arrangements with the VIE, the VIE holds certain assets that are material to the operations of certain portion of our business, including licenses, permits, and some of our IP rights. If the shareholder of the VIE breach the contractual arrangements and voluntarily liquidate the VIE, or if the VIE goes bankrupt and all or part of their assets become subject to liens or rights of third-party creditors or are otherwise disposed of without our consent, we may be unable to continue some or all of our business activities, which could materially and adversely affect our business, results of operations and financial condition. If the VIE undergoes a voluntary or involuntary liquidation proceeding, the independent third-party creditors may claim rights to some or all of these assets, thereby hindering our ability to operate our business, which could materially and adversely affect our business, results of operations and financial condition.</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0" w:lineRule="exact"/>
        <w:rPr>
          <w:sz w:val="20"/>
          <w:szCs w:val="20"/>
          <w:color w:val="auto"/>
        </w:rPr>
      </w:pPr>
    </w:p>
    <w:p>
      <w:pPr>
        <w:ind w:left="200"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spacing w:after="0" w:line="50"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We conduct our business in China and substantially all of our assets are located in China. Accordingly, our business, results of operations and financial condition may be influenced to a significant degree by the PRC political, economic, and social conditions. The PRC government may intervene or influence our operations at any time, which could result in a material change in our operations and/or the value of our securities.</w:t>
      </w:r>
    </w:p>
    <w:p>
      <w:pPr>
        <w:spacing w:after="0" w:line="17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The economic, political and social conditions in China differ from those of the countries in other jurisdictions in many respects, including with respect to the amount of government involvement, level of development, growth rate, control of foreign exchange and allocation of resources. The PRC government has implemented measures emphasizing the utilization of market forces for economic reform, the reduction of state ownership of productive assets, and the establishment of improved corporate governance in business enterprises. These reforms have resulted in significant economic growth and social prospects. However, a substantial portion of productive assets in China is still owned by the government. The PRC government exercises significant control over China’s economic growth by allocating resources, controlling payment of foreign currency-denominated obligations, setting monetary policy, regulating financial services and institutions, providing preferential treatment to particular industries or companies, or imposing industry-wide policies on certain industries. Economic reform measures may also be adjusted, modified or applied inconsistently from industry to industry or across different regions of the country, and there can be no assurance that the Chinese government will continue to pursue a policy of economic reform or that the direction of reform will continue to be market friendly.</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2"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64" w:lineRule="auto"/>
        <w:rPr>
          <w:sz w:val="20"/>
          <w:szCs w:val="20"/>
          <w:color w:val="auto"/>
        </w:rPr>
      </w:pPr>
      <w:r>
        <w:rPr>
          <w:rFonts w:ascii="Times New Roman" w:cs="Times New Roman" w:eastAsia="Times New Roman" w:hAnsi="Times New Roman"/>
          <w:sz w:val="17"/>
          <w:szCs w:val="17"/>
          <w:color w:val="auto"/>
        </w:rPr>
        <w:t>While the Chinese economy has experienced significant growth in the past four decades, growth has been uneven, both geographically and among various sectors of the economy. Various measures implemented by the PRC government to encourage economic growth and guide the allocation of resources may benefit the overall Chinese economy, but may also have a negative effect on us. The results of operations and financial condition could be materially and adversely affected by government control over capital investments, foreign investment or changes in tax regulations that are applicable to us. The PRC government has also implemented certain measures in the past, including interest rate adjustment, to control the pace of economic growth. These measures may cause decreased economic activity, which in turn could lead to a reduction in demand for our products and consequently have a material adverse effect on our business, results of operations and financial condition. In addition, the COVID-19 pandemic may also have a severe and negative impact on the Chinese economy. Any severe or prolonged slowdown in the rate of growth of the Chinese economy may adversely affect our business and results of operations, leading to reduction in demand for our products and adversely affect our competitive position. Additionally, the PRC government may promulgate laws, regulations or policies that seek to impose stricter scrutiny over, or completely revise, the current regulatory regime in certain industries or in certain activities. For instance, the PRC government has significant discretion over the business operations in China and may intervene with or influence specific industries or companies as it deems appropriate to further regulatory, political and societal goals, which could have a material and adverse effect on the future growth of the affected industries and the companies operating in such industries. Furthermore, the PRC government has also recently indicated an intent to exert more oversight and control over overseas securities offerings and foreign investments in China-based companies. Any such actions may adversely affect our operations and significantly limit or completely hinder our ability to offer or continue to offer securities to you and cause the value of such securities to significantly decline or be worthless.</w:t>
      </w:r>
    </w:p>
    <w:p>
      <w:pPr>
        <w:spacing w:after="0" w:line="176"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Our ability to successfully maintain or grow business operations in China depends on various factors,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and financial condition could be materially and adversely affected.</w:t>
      </w:r>
    </w:p>
    <w:p>
      <w:pPr>
        <w:spacing w:after="0" w:line="288" w:lineRule="exact"/>
        <w:rPr>
          <w:sz w:val="20"/>
          <w:szCs w:val="20"/>
          <w:color w:val="auto"/>
        </w:rPr>
      </w:pPr>
    </w:p>
    <w:p>
      <w:pPr>
        <w:ind w:lef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 in China may exert more oversight and control over listing and offerings that are conducted overseas. The approval of the CSRC may be required in connection with this offering and our future capital raising activities, and, if required, we cannot assure you that we or the affiliated entities will be able to obtain such approval, in which case we may face regulatory sanctions for failure to obtain such approval for this offering and our future capital raising activities.</w:t>
      </w:r>
    </w:p>
    <w:p>
      <w:pPr>
        <w:spacing w:after="0" w:line="75"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Under the current Regulations on Merger and Acquisition of Domestic Enterprises by Foreign Investors (the “M&amp;A Rules”), as jointly adopted by six PRC regulatory agencies in 2006 and amended in 2009, an offshore special purpose vehicle that is controlled by PRC domestic companies or individuals and that has been formed for the purpose of an overseas listing of securities through acquisitions of PRC domestic companies or assets is required to obtain the approval of the CSRC prior to the listing and trading of such special purpose vehicle’s securities on an overseas stock exchange. However, substantial uncertainty remains regarding the scope and applicability of the M&amp;A Rules to offshore special purpose vehicles.</w:t>
      </w:r>
    </w:p>
    <w:p>
      <w:pPr>
        <w:spacing w:after="0" w:line="185" w:lineRule="exact"/>
        <w:rPr>
          <w:sz w:val="20"/>
          <w:szCs w:val="20"/>
          <w:color w:val="auto"/>
        </w:rPr>
      </w:pPr>
    </w:p>
    <w:p>
      <w:pPr>
        <w:ind w:left="200" w:right="140" w:firstLine="434"/>
        <w:spacing w:after="0" w:line="251" w:lineRule="auto"/>
        <w:rPr>
          <w:sz w:val="20"/>
          <w:szCs w:val="20"/>
          <w:color w:val="auto"/>
        </w:rPr>
      </w:pPr>
      <w:r>
        <w:rPr>
          <w:rFonts w:ascii="Times New Roman" w:cs="Times New Roman" w:eastAsia="Times New Roman" w:hAnsi="Times New Roman"/>
          <w:sz w:val="18"/>
          <w:szCs w:val="18"/>
          <w:color w:val="auto"/>
        </w:rPr>
        <w:t>Our PRC counsel, CM Law Firm, has advised us based on their understanding of the current PRC laws, regulations and rules that the CSRC’s approval under the M&amp;A Rules may not be required for the listing and trading of the ADSs on the Nasdaq Stock Market in the context of this offering, given that: (1) the CSRC currently has not issued any definitive rule or interpretation concerning whether offerings like ours in this and the final prospectus are subject to the M&amp;A Rules, (2) our WFOE was incorporated as wholly foreign-owned enterprise by means of direct investment rather than by merger or acquisition of equity interest or assets of a PRC domestic company owned by PRC companies or individuals as defined under the M&amp;A Rules, and (3) no explicit provision in the M&amp;A Rules clearly classifies contractual arrangements as a type of acquisition transaction subject to the M&amp;A Rules.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40"/>
          </w:cols>
          <w:pgMar w:left="320" w:top="452"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However, our PRC counsel has further advised us that it remains uncertain as to how the M&amp;A Rules will be interpreted or implemented in the context of an overseas offering and its opinions summarized above are subject to any new laws, regulations and rules or detailed implementations and interpretations in any form relating to the M&amp;A Rules. We cannot assure you that relevant PRC government agencies, including the CSRC, might, from time to time, further clarify or interpret the M&amp;A Rules in writing or orally and require their approvals to be obtained for the offering. We cannot assure you that relevant PRC government agencies, including the CSRC, would reach the same conclusion as our PRC counsel does. If it is determined that CSRC approval under the M&amp;A Rules is required for this offering, we may face sanctions by the CSRC or other PRC regulatory agencies for failure to obtain or delay in obtaining CSRC approval for this offering. These sanctions may include fines and penalties on the operations in China, delays in or restrictions on the repatriation of the proceeds from this offering into China, restrictions on or prohibition of the payments or remittance of dividends by our WFOE or the VIE in China, or other actions that could have a material and adverse effect on our business, results of operations, financial condition, reputation and prospects, as well as the trading price of the ADSs.</w:t>
      </w:r>
    </w:p>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Furthermore, the PRC regulatory authorities have recently exerted more oversight and control over offerings that are conducted overseas. On</w:t>
      </w:r>
    </w:p>
    <w:p>
      <w:pPr>
        <w:spacing w:after="0" w:line="25" w:lineRule="exact"/>
        <w:rPr>
          <w:sz w:val="20"/>
          <w:szCs w:val="20"/>
          <w:color w:val="auto"/>
        </w:rPr>
      </w:pPr>
    </w:p>
    <w:p>
      <w:pPr>
        <w:ind w:left="200"/>
        <w:spacing w:after="0" w:line="262" w:lineRule="auto"/>
        <w:rPr>
          <w:sz w:val="20"/>
          <w:szCs w:val="20"/>
          <w:color w:val="auto"/>
        </w:rPr>
      </w:pPr>
      <w:r>
        <w:rPr>
          <w:rFonts w:ascii="Times New Roman" w:cs="Times New Roman" w:eastAsia="Times New Roman" w:hAnsi="Times New Roman"/>
          <w:sz w:val="17"/>
          <w:szCs w:val="17"/>
          <w:color w:val="auto"/>
        </w:rPr>
        <w:t>July 6, 2021, the General Office of the State Council of the PRC, together with another regulatory authority, jointly promulgated the Opinions on Strictly Cracking Down Illegal Securities Activities in Accordance with the Law, which calls for enhanced administration and supervision of overseas-listed China-based companies, proposes to revise the relevant regulation governing the overseas issuance and listing of shares by such companies, and clarifies the responsibilities of competent domestic industry regulators and government authorities. On December 24, 2021, the CSRC released the Provisions of the State Council on the Administration of Overseas Securities Offering and Listing by Domestic Companies (Draft for Comments) and the Administrative Measures for the Filing of Overseas Securities Offering and Listing by Domestic Companies (Draft for Comments) (the “Draft Rules Regarding Overseas Listing”), for public comments until January 23, 2022. The Draft Rules Regarding Overseas Listing, if implemented as proposed, would apply to all the overseas equity financing and listing activities of China-based companies, including initial and follow-on offerings of shares, depository receipts, convertible corporate bonds, or other equity instruments, and trading of securities in overseas market. Pursuant to such proposed regulations, if China-based companies conduct relevant activities, they shall go through the filing procedures with the CSRC within three working days after submission of listing application, completion of overseas offering, or initial announcement of relevant transactions, as applicable, and report relevant information. In addition, the Draft Rules Regarding Overseas Listing also stipulate certain circumstances where an overseas offering and listing is prohibited, including that (1) there exists any circumstance where going public is strictly prohibited as prescribed by specific laws and regulations of the PRC; (2) the overseas securities offerings and listings constitute a threat or endangerment to national security as reviewed and determined by competent PRC authorities; (3) there exist material ownership disputes on equity, major assets or core technology; (4) any of such domestic enterprises, their controlling shareholder or actual controller is involved in certain criminal offense in recent three years, or is under the investigation for suspicion of criminal offenses or major violations; (5) any of the directors, supervisors and senior management has been subject to severe administrative penalties in recent three years, or is under the investigation for suspicion of criminal offenses or major violations, and other circumstances identified by the State Council. If relevant companies violate the filing obligation or conduct oversea offering and listing under the prohibited circumstances, they are subject to sanctions by the CSRC or other PRC regulatory authorities. For details, see “Regulation — Regulations on M&amp;A and Overseas Listings.”</w:t>
      </w:r>
    </w:p>
    <w:p>
      <w:pPr>
        <w:spacing w:after="0" w:line="180"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The Draft Rules Regarding Overseas Listing are not clear as to whether companies like us that have already submitted an application for an initial public offering to overseas regulators but have not yet completed the offering prior to their effective date shall be subject to such post-filing procedures. Therefore, if the Draft Rules Regarding Overseas Listing were implemented as proposed in its current form before this offering and listing is completed, we might be subject to the aforementioned post-filing requirement with the CSRC for this listing and offering and might also be prohibited from completing this offering if any of the circumstances described in the Draft Rules Regarding Overseas Listing occurs. As of the date of this prospectus, we have not received any formal inquiry, notice, warning, sanction, or any regulatory objection from the CSRC with respect to this offering</w:t>
      </w:r>
    </w:p>
    <w:p>
      <w:pPr>
        <w:spacing w:after="0" w:line="1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40"/>
          </w:cols>
          <w:pgMar w:left="320" w:top="452"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48" w:lineRule="auto"/>
        <w:rPr>
          <w:sz w:val="20"/>
          <w:szCs w:val="20"/>
          <w:color w:val="auto"/>
        </w:rPr>
      </w:pPr>
      <w:r>
        <w:rPr>
          <w:rFonts w:ascii="Times New Roman" w:cs="Times New Roman" w:eastAsia="Times New Roman" w:hAnsi="Times New Roman"/>
          <w:sz w:val="18"/>
          <w:szCs w:val="18"/>
          <w:color w:val="auto"/>
        </w:rPr>
        <w:t>and listing, and we believe that we are not subject to the prohibited circumstances as proposed in the Draft Rules Regarding Overseas Listing. Moreover, as the Draft Rules Regarding Overseas Listing were released for public comments only and have not come into effect, there remains uncertainty in the effective date and their final form and interpretation and implementation, and we cannot assure you that the relevant PRC government authorities, including the CSRC, would not promulgate new rules or new interpretation of current rules to require us or the affiliated entities to obtain CSRC or other PRC government approvals or complete other compliance procedures for this offering. We cannot assure you that we or the affiliated entities would be able to complete all the requirements, to the extent that they may be subsequently required by the relevant regulatory authorities, in a timely manner, or at all, or that completion of any other compliance requirements would not be imposed. Any failure to complete or delay in completing such procedures for this listing and offering or future capital raising activities as required under the Draft Rules Regarding Overseas Listing, or a rescission of any such filings completed by us, would subject us to sanctions by the CSRC or other PRC regulatory authorities. These regulatory authorities may impose restrictions and penalties on the operations in China, significantly limit or completely hinder our ability to complete this offering or launch any new offering of our securities, limit our ability to pay dividends outside of China, delay or restrict the repatriation of the proceeds from this offering or future capital raising activities into China, or take other actions that could materially and adversely affect our business, results of operations, financial condition and prospects, as well as the trading price of the ADSs. Accordingly, the value of your investment may be materially and adversely affected or become worthless.</w:t>
      </w:r>
    </w:p>
    <w:p>
      <w:pPr>
        <w:spacing w:after="0" w:line="197"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Furthermore, the PRC government authorities may further strengthen oversight and control over offerings that are conducted overseas and/or foreign investment in China-based issuers like us. Any such action may adversely affect our operations and significantly limit or completely hinder our ability to offer or continue to offer securities to you and cause the value of such securities to significantly decline or be worthless.</w:t>
      </w:r>
    </w:p>
    <w:p>
      <w:pPr>
        <w:spacing w:after="0" w:line="278" w:lineRule="exact"/>
        <w:rPr>
          <w:sz w:val="20"/>
          <w:szCs w:val="20"/>
          <w:color w:val="auto"/>
        </w:rPr>
      </w:pPr>
    </w:p>
    <w:p>
      <w:pPr>
        <w:ind w:left="20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spacing w:after="0" w:line="53" w:lineRule="exact"/>
        <w:rPr>
          <w:sz w:val="20"/>
          <w:szCs w:val="20"/>
          <w:color w:val="auto"/>
        </w:rPr>
      </w:pPr>
    </w:p>
    <w:p>
      <w:pPr>
        <w:ind w:left="200" w:right="40" w:firstLine="434"/>
        <w:spacing w:after="0" w:line="264" w:lineRule="auto"/>
        <w:rPr>
          <w:sz w:val="20"/>
          <w:szCs w:val="20"/>
          <w:color w:val="auto"/>
        </w:rPr>
      </w:pPr>
      <w:r>
        <w:rPr>
          <w:rFonts w:ascii="Times New Roman" w:cs="Times New Roman" w:eastAsia="Times New Roman" w:hAnsi="Times New Roman"/>
          <w:sz w:val="17"/>
          <w:szCs w:val="17"/>
          <w:color w:val="auto"/>
        </w:rPr>
        <w:t>On December 28, 2021, the CAC and several other PRC government authorities jointly issued an amendment to the Measures for Cybersecurity Review, which took effect on February 15, 2022 and provides that the relevant operators shall apply with the Cybersecurity Review Office of CAC for a cybersecurity review under certain circumstances. See “Regulation — Regulations on Internet Information Security and Censorship.” As a network platform operator who possesses personal information of more than one million users for purposes of the Cybersecurity Review Measures, we have applied for and completed a cybersecurity review for this offering and listing pursuant to the Cybersecurity Review Measures. The review was completed in August 2022. We have not received any material adverse findings in such review. We are in compliance with the existing regulations and policies by the CAC regarding the Cybersecurity Review as of the date of this prospectus. However, it remains uncertain as to how the existing regulatory measures will be interpreted or implemented in the future, and whether the PRC regulatory agencies, including the CAC, may adopt new laws, regulations, rules, or detailed implementation and interpretation related to the measures, which may have a material adverse impact on our future capital raising activities, or even retrospectively, on this offering and listing. If any such new laws, regulations, rules, or implementation and interpretation comes into effect, we face uncertainty as to whether any review or other required actions can be timely completed, or at all. Given such uncertainty, we may be further required to suspend our business, shut down our platforms, or face other penalties, which could materially and adversely affect our business, results of operations and financial condition, and/or the value of the ADSs, or could significantly limit or completely hinder our ability to offer or continue to offer securities to investors. In addition, if any of these events causes us unable to direct the VIE’s activities or lose the right to receive their economic benefits, we may not be able to consolidate the VIE into our consolidated financial statements in accordance with U.S. GAAP, which could cause the value of the ADSs to significantly decline or become worthless.</w:t>
      </w:r>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40"/>
          </w:cols>
          <w:pgMar w:left="320" w:top="452"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right="2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ADSs will be delisted and our shares and ADSs will be prohibited from trading in the over-the-counter market under the Holding Foreign Companies Accountable Act, if the PCAOB is unable to inspect or investigate completely auditors located in China for two consecutive years. The delisting of the ADSs, or the threat of their being delisted, may materially and adversely affect the value of your investment.</w:t>
      </w:r>
    </w:p>
    <w:p>
      <w:pPr>
        <w:spacing w:after="0" w:line="68" w:lineRule="exact"/>
        <w:rPr>
          <w:sz w:val="20"/>
          <w:szCs w:val="20"/>
          <w:color w:val="auto"/>
        </w:rPr>
      </w:pPr>
    </w:p>
    <w:p>
      <w:pPr>
        <w:ind w:left="200" w:right="40" w:firstLine="434"/>
        <w:spacing w:after="0" w:line="265"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by the PCAOB for two consecutive years, the SEC will prohibit our shares and ADSs from being traded on a national securities exchange or in the over-the-counter trading market in the United States. Our auditor, PricewaterhouseCoopers Zhong Tian LLP, is an independent registered accounting firm based in mainland China. On December 2, 2021, the SEC adopted final amendments to its rules implementing the HFCAA, which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These amendments also establish procedures the SEC will follow in identifying issuers and prohibiting trading by certain issuers under the HFCAA. In March 2022, the SEC issued its first “Conclusive list of issuers identified under the HFCAA” indicating that those companies are now formally subject to the delisting provisions if they remain on the list for three consecutive years. As of the date of this prospectus, more than 170 public companies have been listed in as issuers identified under the HFCAA.</w:t>
      </w:r>
    </w:p>
    <w:p>
      <w:pPr>
        <w:spacing w:after="0" w:line="179" w:lineRule="exact"/>
        <w:rPr>
          <w:sz w:val="20"/>
          <w:szCs w:val="20"/>
          <w:color w:val="auto"/>
        </w:rPr>
      </w:pPr>
    </w:p>
    <w:p>
      <w:pPr>
        <w:ind w:left="200" w:firstLine="434"/>
        <w:spacing w:after="0" w:line="248" w:lineRule="auto"/>
        <w:rPr>
          <w:sz w:val="20"/>
          <w:szCs w:val="20"/>
          <w:color w:val="auto"/>
        </w:rPr>
      </w:pPr>
      <w:r>
        <w:rPr>
          <w:rFonts w:ascii="Times New Roman" w:cs="Times New Roman" w:eastAsia="Times New Roman" w:hAnsi="Times New Roman"/>
          <w:sz w:val="18"/>
          <w:szCs w:val="18"/>
          <w:color w:val="auto"/>
        </w:rPr>
        <w:t>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two consecutive years of non-inspection under the HFCAA, the ADSs will be delisted from the Nasdaq Stock Market and our shares and ADSs will not be permitted for trading over the counter either. If our shares and ADSs are prohibited from trading in the United States, we cannot assure you that we will be able to list on a non-U.S. exchange or that a market for our shares will develop outside of the United States. Such a prohibition would substantially impair your ability to sell or purchase the ADSs when you wish to do so, and the risk and uncertainty associated with delisting would have a negative impact on the price of the ADSs. Moreover, the HFCAA or other efforts to increase U.S. regulatory access to audit information could cause investor uncertainty for affected issuers, including us, and the market price of the ADSs could be adversely affected. Also, such a prohibition would significantly affect our ability to raise capital on terms acceptable to us, or at all, which would have a material adverse impact on our business, financial condition, and prospects.</w:t>
      </w:r>
    </w:p>
    <w:p>
      <w:pPr>
        <w:spacing w:after="0" w:line="190" w:lineRule="exact"/>
        <w:rPr>
          <w:sz w:val="20"/>
          <w:szCs w:val="20"/>
          <w:color w:val="auto"/>
        </w:rPr>
      </w:pPr>
    </w:p>
    <w:p>
      <w:pPr>
        <w:jc w:val="both"/>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In addition, on August 6, 2020, the President’s Working Group on Financial Markets (the “PWG”) released a report recommending that the SEC take steps to implement the five recommendations, including enhanced listing standards on U.S. stock exchanges with respect to PCAOB inspection of accounting firms. This would</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40"/>
          </w:cols>
          <w:pgMar w:left="320" w:top="452"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require, as a condition to initial and continued listing on a U.S. stock exchange, PCAOB access to work papers of the principal audit firm for the audit of the listed company. The report permits the new listing standards to provide for a transition period until January 1, 2022 for listed companies, but would apply immediately to new listings once the necessary rulemakings and/or standard-setting are effective. It is unclear if and when the SEC will make rules to implement the recommendations proposed in the PWG report, especially in light of its ongoing rulemaking pursuant to the HFCAA. Any of these factors and developments could potentially lead to a material adverse effect on our business, prospects, results of operations and financial condition.</w:t>
      </w:r>
    </w:p>
    <w:p>
      <w:pPr>
        <w:spacing w:after="0" w:line="288" w:lineRule="exact"/>
        <w:rPr>
          <w:sz w:val="20"/>
          <w:szCs w:val="20"/>
          <w:color w:val="auto"/>
        </w:rPr>
      </w:pPr>
    </w:p>
    <w:p>
      <w:pPr>
        <w:ind w:left="200"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PCAOB has historically been unable to inspect our auditor in relation to their audit work performed for our financial statements included elsewhere in this prospectus and the inability of the PCAOB to conduct inspections over our auditor deprives our investors with the benefits of such inspections.</w:t>
      </w:r>
    </w:p>
    <w:p>
      <w:pPr>
        <w:spacing w:after="0" w:line="68"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China, a jurisdiction where the PCAOB was unable to conduct inspections and investigations before 2022. As a result, we and investors in our securities are deprived of the benefits of such PCAOB inspections. On December 15, 2022, the PCAOB announced that it was able to secure complete access to inspect and investigate PCAOB-registered public accounting firms headquartered in mainland China and Hong Kong in 2022. However, the inability of the PCAOB to conduct inspections of auditors in China in the past made it more difficult to evaluate the effectiveness of our independent registered public accounting firm’s audit procedures or quality control procedures as compared to auditors outside of China that have been subject to the PCAOB inspections, which could cause investors and potential investors in the ADSs to lose confidence in our audit procedures and reported financial information and the quality of our financial statements.</w:t>
      </w:r>
    </w:p>
    <w:p>
      <w:pPr>
        <w:spacing w:after="0" w:line="295"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the “big four” PRC-based accounting firms, including our independent registered public accounting firm, could result in financial statements being determined to not comply with the requirements of the Exchange Act.</w:t>
      </w:r>
    </w:p>
    <w:p>
      <w:pPr>
        <w:spacing w:after="0" w:line="53" w:lineRule="exact"/>
        <w:rPr>
          <w:sz w:val="20"/>
          <w:szCs w:val="20"/>
          <w:color w:val="auto"/>
        </w:rPr>
      </w:pPr>
    </w:p>
    <w:p>
      <w:pPr>
        <w:ind w:left="200" w:right="260" w:firstLine="434"/>
        <w:spacing w:after="0" w:line="256" w:lineRule="auto"/>
        <w:rPr>
          <w:sz w:val="20"/>
          <w:szCs w:val="20"/>
          <w:color w:val="auto"/>
        </w:rPr>
      </w:pPr>
      <w:r>
        <w:rPr>
          <w:rFonts w:ascii="Times New Roman" w:cs="Times New Roman" w:eastAsia="Times New Roman" w:hAnsi="Times New Roman"/>
          <w:sz w:val="18"/>
          <w:szCs w:val="18"/>
          <w:color w:val="auto"/>
        </w:rPr>
        <w:t>In December 2012, the SEC brought administrative proceedings against the “big four” PRC-based accounting firms, including our independent registered public accounting firm, alleging that they had violated U.S. securities laws and the SEC’s rules and regulations thereunder by failing to provide to the SEC the firms’ audit work papers and other documents related to certain other PRC-based companies that are publicly traded in the United States.</w:t>
      </w:r>
    </w:p>
    <w:p>
      <w:pPr>
        <w:spacing w:after="0" w:line="181"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The decision was neither final nor legally effective until reviewed and approved by the SEC, and on February 12, 2014, the PRC-based accounting firms appealed to the SEC against this decision.</w:t>
      </w:r>
    </w:p>
    <w:p>
      <w:pPr>
        <w:spacing w:after="0" w:line="181" w:lineRule="exact"/>
        <w:rPr>
          <w:sz w:val="20"/>
          <w:szCs w:val="20"/>
          <w:color w:val="auto"/>
        </w:rPr>
      </w:pPr>
    </w:p>
    <w:p>
      <w:pPr>
        <w:ind w:left="200" w:right="100" w:firstLine="434"/>
        <w:spacing w:after="0" w:line="251" w:lineRule="auto"/>
        <w:rPr>
          <w:sz w:val="20"/>
          <w:szCs w:val="20"/>
          <w:color w:val="auto"/>
        </w:rPr>
      </w:pPr>
      <w:r>
        <w:rPr>
          <w:rFonts w:ascii="Times New Roman" w:cs="Times New Roman" w:eastAsia="Times New Roman" w:hAnsi="Times New Roman"/>
          <w:sz w:val="18"/>
          <w:szCs w:val="18"/>
          <w:color w:val="auto"/>
        </w:rPr>
        <w:t>On February 6, 2015, the four PRC-based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PRC-based firms’ audit documents via the CSRC. Under the terms of the settlement, the underlying proceeding against the four PRC-based accounting firms was deemed dismissed with prejudice four years after entry of the settlement. The four-year mark occurred on February 6, 2019. Despite the Statement of Protocol, it remains uncertain whether the SEC will further challenge the four PRC-based accounting firms’ compliance with U.S. laws in connection with U.S. regulatory requests for audit work papers or if the results of such a challenge would result in the SEC imposing penalties such as suspensions.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40"/>
          </w:cols>
          <w:pgMar w:left="320" w:top="452"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If additional remedial measures are imposed on the PRC-based accounting firms, including our independent registered public accounting firm, we could be unable to timely file future financial statements in compliance with the requirements of the Exchange Act. Moreover, any negative news about any such future proceedings against these accounting firms may cause investor uncertainty regarding China-based, United States-listed companies and the market price of the ADSs may be adversely affected. A determination that we have not timely filed financial statements in compliance with the SEC requirements could ultimately lead to the delisting of the ADSs from the Nasdaq Stock Market or deregistration from the SEC, or both, which would substantially reduce or effectively terminate the trading of the ADSs in the United States.</w:t>
      </w:r>
    </w:p>
    <w:p>
      <w:pPr>
        <w:spacing w:after="0" w:line="288" w:lineRule="exact"/>
        <w:rPr>
          <w:sz w:val="20"/>
          <w:szCs w:val="20"/>
          <w:color w:val="auto"/>
        </w:rPr>
      </w:pPr>
    </w:p>
    <w:p>
      <w:pPr>
        <w:ind w:left="200"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global or Chinese economy could materially and adversely affect our business, results of operations, financial condition and prospects.</w:t>
      </w:r>
    </w:p>
    <w:p>
      <w:pPr>
        <w:spacing w:after="0" w:line="53"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color w:val="auto"/>
        </w:rPr>
        <w:t>COVID-19 has had a severe and negative impact on the global and Chinese economy, and its long-term impact on global and Chinese economy is still uncertain. Even before the outbreak of COVID-19, the global macroeconomic environment was facing challenges, including the end of quantitative easing by the U.S. Federal Reserve, the economic slowdown in the Eurozone since 2014, uncertainties over the impact of Brexit and the ongoing trade and tariffs disputes between China and the United States. The growth of Chinese economy has slowed down since 2012 and such trend may continue. There is considerable uncertainty over the long-term effects of the monetary and fiscal policies adopted by the central banks and financial authorities of some of the world’s leading economies, including the United States and China. In addition, the trade tension between the United States and China, the drastic drop in oil prices and the U.S. Federal Reserve’s fiscal policies to strengthen the market in early 2020 also create uncertainty and challenges to the development of global economic condition. Economic conditions in China are sensitive to global economic conditions, as well as changes in domestic economic and political policies, and the expected or perceived overall economic growth rate in China. Any prolonged slowdown in the global or Chinese economy may have a negative impact on individual disposable income and in turn our business, results of operations and financial condition, and continued turbulence in the international capital markets may adversely affect our access to capital markets to meet liquidity needs.</w:t>
      </w:r>
    </w:p>
    <w:p>
      <w:pPr>
        <w:spacing w:after="0" w:line="281" w:lineRule="exact"/>
        <w:rPr>
          <w:sz w:val="20"/>
          <w:szCs w:val="20"/>
          <w:color w:val="auto"/>
        </w:rPr>
      </w:pPr>
    </w:p>
    <w:p>
      <w:pPr>
        <w:ind w:left="20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have a material adverse effect on our business, results of operations, financial condition and future prospects, and cause the ADSs to significantly decline in value or become worthless.</w:t>
      </w:r>
    </w:p>
    <w:p>
      <w:pPr>
        <w:spacing w:after="0" w:line="53"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are governed by PRC laws, rules and regulations. The PRC legal system is a civil law system based on written statutes. Unlike the common law system, prior court decisions in a civil law system may be cited as reference but have limited precedential value. The PRC legal system continues to evolve rapidly, the interpretations of such laws and regulations may not always be consistent, and enforcement of these laws and regulations involves significant uncertainties, any of which could limit the available legal protections.</w:t>
      </w:r>
    </w:p>
    <w:p>
      <w:pPr>
        <w:spacing w:after="0" w:line="181" w:lineRule="exact"/>
        <w:rPr>
          <w:sz w:val="20"/>
          <w:szCs w:val="20"/>
          <w:color w:val="auto"/>
        </w:rPr>
      </w:pPr>
    </w:p>
    <w:p>
      <w:pPr>
        <w:ind w:left="200" w:right="80" w:firstLine="434"/>
        <w:spacing w:after="0" w:line="272" w:lineRule="auto"/>
        <w:rPr>
          <w:sz w:val="20"/>
          <w:szCs w:val="20"/>
          <w:color w:val="auto"/>
        </w:rPr>
      </w:pPr>
      <w:r>
        <w:rPr>
          <w:rFonts w:ascii="Times New Roman" w:cs="Times New Roman" w:eastAsia="Times New Roman" w:hAnsi="Times New Roman"/>
          <w:sz w:val="17"/>
          <w:szCs w:val="17"/>
          <w:color w:val="auto"/>
        </w:rPr>
        <w:t>Moreover, developments in the online learning industry and other industries and that we are and will be involved in may lead to changes in PRC laws, regulations and policies or in the interpretation and application thereof. As a result, we may be required by the regulators to upgrade or obtain the licenses, permits, approvals, to complete additional filings or registrations for the products and services we offer, or to modify business practices that may subject us to various penalties, including criminal penalties for individual and entity. We cannot assure you that our business operations would not be deemed to violate any existing or future PRC laws or regulations, which in turn could materially and adversely affect our business operations.</w:t>
      </w:r>
    </w:p>
    <w:p>
      <w:pPr>
        <w:spacing w:after="0" w:line="169"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In addition, the PRC administrative and judicial authorities have significant discretion in interpreting, implementing or enforcing statutory rules and contractual terms, and it may be difficult to predict the outcome of administrative and judicial proceedings and the level of legal protection we may enjoy in the PRC. 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320" w:top="452"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proceedings in China may be protracted, resulting in substantial costs and diversion of resources and management attention. Such unpredictability and uncertainties could limit the legal protections available to you and us, significantly limit or completely hinder our ability to offer or continue to offer the ADSs, cause significant disruption to our business operations, and severely damage our reputation, which would materially and adversely affect our results of operations and financial condition and cause the ADSs to significantly decline in value or become worthless.</w:t>
      </w:r>
    </w:p>
    <w:p>
      <w:pPr>
        <w:spacing w:after="0" w:line="181" w:lineRule="exact"/>
        <w:rPr>
          <w:sz w:val="20"/>
          <w:szCs w:val="20"/>
          <w:color w:val="auto"/>
        </w:rPr>
      </w:pPr>
    </w:p>
    <w:p>
      <w:pPr>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These uncertainties may also affect our decisions on the policies and actions to be taken to comply with PRC laws and regulations, and may affect our ability to enforce contractual rights, property (including intellectual property) or tort rights. In addition, the regulatory uncertainties may be exploited through unmerited legal actions or threats in an attempt to extract payments or benefits from us. Such uncertainties may therefore increase the operating expenses and costs, and materially and adversely affect our business and results of operations.</w:t>
      </w:r>
    </w:p>
    <w:p>
      <w:pPr>
        <w:spacing w:after="0" w:line="283" w:lineRule="exact"/>
        <w:rPr>
          <w:sz w:val="20"/>
          <w:szCs w:val="20"/>
          <w:color w:val="auto"/>
        </w:rPr>
      </w:pPr>
    </w:p>
    <w:p>
      <w:pPr>
        <w:ind w:left="200"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this prospectus based on foreign laws.</w:t>
      </w:r>
    </w:p>
    <w:p>
      <w:pPr>
        <w:spacing w:after="0" w:line="53"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and substantially all of our assets are located in China. In addition, all our senior executive officers reside within China for a significant portion of the time and all are PRC nationals. In addition, China does not have treaties providing for the reciprocal recognition and enforcement of judgments of courts with the Cayman Islands and many other countries and regions. Even if you are successful in bringing an action of this kind, PRC laws may render you unable to enforce a judgment against our or the VIE’s assets or the assets of our directors and officers. For more information regarding the relevant PRC laws, see “Enforceability of Civil Liabilities.”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116"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instance,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w:t>
      </w:r>
    </w:p>
    <w:p>
      <w:pPr>
        <w:spacing w:after="0" w:line="185"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According to Article 177 of the PRC Securities Law (the “Article 177”), which became effective in March 2020, no overseas securities regulator is allowed to directly conduct investigation or evidence collection activities within the territory of the PRC. Accordingly, without PRC government approval,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 The inability for an overseas securities regulator to directly conduct investigation or evidence collection activities within China may further increase difficulties faced by you in protecting your interests. Furthermore, as the date of this prospectus, there have not been implementing rules or regulations regarding the application of Article 177, it remains unclear as to how it will be interpreted, implemented or applied by relevant government authorities. As such, there are also uncertainties as to the procedures and requisite timing for the oversea securities regulatory agencies to conduct investigations and collect evidence within the territory of the PRC. If the U.S. securities regulatory agencies are unable to conduct such investigations, there exists a risk that they may determine to suspend or de-register our registration with the SEC and may also delist our securities from trading market within the United States.</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52"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See also “— Risks Related to the ADSs and This Offering — You may face difficulties in protecting your interests, and your ability to protect your rights through U.S. courts may be limited, because we are incorporated under Cayman Islands law and our operations are primarily conducted in emerging markets.”</w:t>
      </w:r>
    </w:p>
    <w:p>
      <w:pPr>
        <w:spacing w:after="0" w:line="278" w:lineRule="exact"/>
        <w:rPr>
          <w:sz w:val="20"/>
          <w:szCs w:val="20"/>
          <w:color w:val="auto"/>
        </w:rPr>
      </w:pPr>
    </w:p>
    <w:p>
      <w:pPr>
        <w:ind w:left="20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China-based companies listed in the United States may result in increased regulatory scrutiny of us and negatively impact the trading price of the ADSs.</w:t>
      </w:r>
    </w:p>
    <w:p>
      <w:pPr>
        <w:spacing w:after="0" w:line="53" w:lineRule="exact"/>
        <w:rPr>
          <w:sz w:val="20"/>
          <w:szCs w:val="20"/>
          <w:color w:val="auto"/>
        </w:rPr>
      </w:pPr>
    </w:p>
    <w:p>
      <w:pPr>
        <w:ind w:left="200" w:right="120" w:firstLine="434"/>
        <w:spacing w:after="0" w:line="250"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United States have negatively impacted stock prices for such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published reports on China-based companies after examining, among other things, their corporate governance practices, related party transactions, sales practices and financial statements that have led to special investigations and listing suspensions on U.S. national exchanges. Any similar scrutiny of us, regardless of its lack of merit, could cause the market price of the ADSs to fall, divert management resources and energy, cause us to incur expenses in defending ourselves against rumors, and increase the premiums we pay for director and officer insurance.</w:t>
      </w:r>
    </w:p>
    <w:p>
      <w:pPr>
        <w:spacing w:after="0" w:line="289" w:lineRule="exact"/>
        <w:rPr>
          <w:sz w:val="20"/>
          <w:szCs w:val="20"/>
          <w:color w:val="auto"/>
        </w:rPr>
      </w:pPr>
    </w:p>
    <w:p>
      <w:pPr>
        <w:jc w:val="both"/>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tension in international trade and rising political tension, particularly between the United States and China, may adversely impact our business, results of operations and financial condition.</w:t>
      </w:r>
    </w:p>
    <w:p>
      <w:pPr>
        <w:spacing w:after="0" w:line="53" w:lineRule="exact"/>
        <w:rPr>
          <w:sz w:val="20"/>
          <w:szCs w:val="20"/>
          <w:color w:val="auto"/>
        </w:rPr>
      </w:pPr>
    </w:p>
    <w:p>
      <w:pPr>
        <w:jc w:val="both"/>
        <w:ind w:left="200" w:right="20" w:firstLine="434"/>
        <w:spacing w:after="0" w:line="269" w:lineRule="auto"/>
        <w:rPr>
          <w:sz w:val="20"/>
          <w:szCs w:val="20"/>
          <w:color w:val="auto"/>
        </w:rPr>
      </w:pPr>
      <w:r>
        <w:rPr>
          <w:rFonts w:ascii="Times New Roman" w:cs="Times New Roman" w:eastAsia="Times New Roman" w:hAnsi="Times New Roman"/>
          <w:sz w:val="17"/>
          <w:szCs w:val="17"/>
          <w:color w:val="auto"/>
        </w:rPr>
        <w:t>Our business could be materially and adversely affected by the tensions in international trade such as the one between the United States and China in recent years. Changes to international trade policies could adversely affect the global economic conditions. In addition, geopolitical tensions between the United States and China have escalated due to, among other things, trade disputes, the COVID-19 outbreak, sanctions imposed by the U.S.</w:t>
      </w:r>
    </w:p>
    <w:p>
      <w:pPr>
        <w:ind w:left="200" w:right="20"/>
        <w:spacing w:after="0" w:line="248" w:lineRule="auto"/>
        <w:rPr>
          <w:sz w:val="20"/>
          <w:szCs w:val="20"/>
          <w:color w:val="auto"/>
        </w:rPr>
      </w:pPr>
      <w:r>
        <w:rPr>
          <w:rFonts w:ascii="Times New Roman" w:cs="Times New Roman" w:eastAsia="Times New Roman" w:hAnsi="Times New Roman"/>
          <w:sz w:val="18"/>
          <w:szCs w:val="18"/>
          <w:color w:val="auto"/>
        </w:rPr>
        <w:t>Department of Treasury, and the executive orders issued by the U.S. government that may prohibit transactions with certain selected Chinese companies as well as their products and services. Rising political tensions could reduce levels of trades, investments, technological exchanges, and other economic activities between the two major economies. Such tensions involving China, and any escalation thereof, may negatively affect trading and business environments, which may, in turn, adversely impacting our business, results of operations and financial condition.</w:t>
      </w:r>
    </w:p>
    <w:p>
      <w:pPr>
        <w:spacing w:after="0" w:line="291" w:lineRule="exact"/>
        <w:rPr>
          <w:sz w:val="20"/>
          <w:szCs w:val="20"/>
          <w:color w:val="auto"/>
        </w:rPr>
      </w:pPr>
    </w:p>
    <w:p>
      <w:pPr>
        <w:jc w:val="both"/>
        <w:ind w:left="200" w:right="46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We rely on dividends and other distributions on equity paid by our WFOE to fund any cash and financing requirements we may have, and any limitation on the ability of our WFOE to make payments to us could have a material and adverse effect on our ability to conduct our business.</w:t>
      </w:r>
    </w:p>
    <w:p>
      <w:pPr>
        <w:spacing w:after="0" w:line="31"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QuantaSing Group Limited is a Cayman Islands holding company with no Chinese operations. We rely on dividends and other distributions on equity paid by our WFOE for our cash and financing requirements, including the funds necessary to pay dividends and other cash distributions to our shareholders and service any debt we may incur. In the fiscal years ended June 30, 2021 and 2022, the VIE transferred certain cash proceeds to our WFOE as payment of services fees, and our WFOE and the VIE provided certain cash loans to each other, for capital needs or to fund business operation. In the same periods, QuantaSing, our WFOE and subsidiaries in Hong Kong and BVI also received certain capital contribution from each other for restructuring purpose. See “Prospectus Summary — Implications of Being a Company with the Holding Company Structure and the VIE Structure — Cash and asset flows through our organization,” “Prospectus Summary — Summary Consolidated Financial and Operating Data — Consolidated Financial Statements” and “Prospectus Summary — Summary Consolidated Financial and Operating Data — Financial Information Relating to the Affiliated Entities” for details. To the extent our cash or assets in the business are in mainland China or Hong Kong or a mainland China or Hong Kong entity, the funds or assets may not be available to fund operations or for other use outside of mainland China or Hong Kong due to interventions in or the imposition of restrictions and limitations on the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52"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1" w:lineRule="auto"/>
        <w:rPr>
          <w:sz w:val="20"/>
          <w:szCs w:val="20"/>
          <w:color w:val="auto"/>
        </w:rPr>
      </w:pPr>
      <w:r>
        <w:rPr>
          <w:rFonts w:ascii="Times New Roman" w:cs="Times New Roman" w:eastAsia="Times New Roman" w:hAnsi="Times New Roman"/>
          <w:sz w:val="18"/>
          <w:szCs w:val="18"/>
          <w:color w:val="auto"/>
        </w:rPr>
        <w:t>ability of QuantaSing Group Limited, our subsidiaries or the affiliated entities to transfer cash or assets. Current PRC regulations permit our WFOE to pay dividends to us only out of their accumulated after-tax profits upon satisfaction of relevant statutory conditions and procedures, if any, determined in accordance with Chinese accounting standards and regulations. In addition, our WFOE is required to set aside at least 10% of its accumulated profits each year, after making up previous years’ accumulated losses, if any, to fund certain reserve funds until the total amount set aside reaches 50% of its registered capital. For a detailed discussion of applicable PRC regulations governing distribution of dividends, see “Regulation — Regulations on Dividend Distribution.” As a result of these laws, rules and regulations, our WFOE is restricted in their ability to transfer a portion of their respective net assets to their shareholders as dividends.</w:t>
      </w:r>
    </w:p>
    <w:p>
      <w:pPr>
        <w:spacing w:after="0" w:line="187"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While there are currently no such restrictions on foreign exchange and our ability to transfer cash or assets between QuantaSing Group Limited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QuantaSing Group Limited, its subsidiaries and the affiliated entities to transfer or distribute cash within the organization, which could result in an inability of or prohibition on making transfers or distributions to entities outside of mainland China and Hong Kong.</w:t>
      </w:r>
    </w:p>
    <w:p>
      <w:pPr>
        <w:spacing w:after="0" w:line="187" w:lineRule="exact"/>
        <w:rPr>
          <w:sz w:val="20"/>
          <w:szCs w:val="20"/>
          <w:color w:val="auto"/>
        </w:rPr>
      </w:pPr>
    </w:p>
    <w:p>
      <w:pPr>
        <w:ind w:left="200" w:right="60" w:firstLine="434"/>
        <w:spacing w:after="0" w:line="270" w:lineRule="auto"/>
        <w:rPr>
          <w:sz w:val="20"/>
          <w:szCs w:val="20"/>
          <w:color w:val="auto"/>
        </w:rPr>
      </w:pPr>
      <w:r>
        <w:rPr>
          <w:rFonts w:ascii="Times New Roman" w:cs="Times New Roman" w:eastAsia="Times New Roman" w:hAnsi="Times New Roman"/>
          <w:sz w:val="17"/>
          <w:szCs w:val="17"/>
          <w:color w:val="auto"/>
        </w:rPr>
        <w:t>Furthermore, if our WFOE incurs debt on their own behalf in the future, the instruments governing their debt may restrict their ability to pay dividends or make other distributions to us.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 In addition, our WFOE also relies on the service fees paid by the VIE to pay dividends to us. Any limitation on the ability of the VIE to make remittance to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0" w:lineRule="exact"/>
        <w:rPr>
          <w:sz w:val="20"/>
          <w:szCs w:val="20"/>
          <w:color w:val="auto"/>
        </w:rPr>
      </w:pPr>
    </w:p>
    <w:p>
      <w:pPr>
        <w:ind w:left="200" w:right="160" w:firstLine="434"/>
        <w:spacing w:after="0" w:line="251" w:lineRule="auto"/>
        <w:rPr>
          <w:sz w:val="20"/>
          <w:szCs w:val="20"/>
          <w:color w:val="auto"/>
        </w:rPr>
      </w:pPr>
      <w:r>
        <w:rPr>
          <w:rFonts w:ascii="Times New Roman" w:cs="Times New Roman" w:eastAsia="Times New Roman" w:hAnsi="Times New Roman"/>
          <w:sz w:val="18"/>
          <w:szCs w:val="18"/>
          <w:color w:val="auto"/>
        </w:rPr>
        <w:t>The Enterprise Income Tax Law enacted by the National People’s Congress, which became effective on January 1, 2008,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See “— If we are classified as a PRC resident enterprise for PRC income tax purposes, such classification could result in unfavorable tax consequences to us and our non-PRC shareholders or ADS holders.” Furthermore, the PRC tax authorities may require our WFOE to adjust its taxable income under the contractual arrangements it currently has in place with the VIE in a manner that would materially and adversely affect its ability to pay dividends and other distributions to us.</w:t>
      </w:r>
    </w:p>
    <w:p>
      <w:pPr>
        <w:spacing w:after="0" w:line="187"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Any restriction on currency exchange may limit the ability of our WFOE to use their Renminbi revenues to pay dividends to us. The PRC government may continue to strengthen its capital controls and our WFOE’ dividends and other distributions may be subject to tightened scrutiny in the future.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283" w:lineRule="exact"/>
        <w:rPr>
          <w:sz w:val="20"/>
          <w:szCs w:val="20"/>
          <w:color w:val="auto"/>
        </w:rPr>
      </w:pPr>
    </w:p>
    <w:p>
      <w:pPr>
        <w:ind w:left="200"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Restrictions on the remittance of Renminbi into and out of China and governmental control of currency conversion may limit our ability to pay dividends and other obligations, and affect the value of your investment.</w:t>
      </w:r>
    </w:p>
    <w:p>
      <w:pPr>
        <w:spacing w:after="0" w:line="53" w:lineRule="exact"/>
        <w:rPr>
          <w:sz w:val="20"/>
          <w:szCs w:val="20"/>
          <w:color w:val="auto"/>
        </w:rPr>
      </w:pPr>
    </w:p>
    <w:p>
      <w:pPr>
        <w:ind w:left="200" w:right="320" w:firstLine="434"/>
        <w:spacing w:after="0" w:line="275"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the remittance of funds out of China. We receive substantially all of our revenue in Renminbi. Under our current</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452"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8"/>
          <w:szCs w:val="18"/>
          <w:color w:val="auto"/>
        </w:rPr>
        <w:t>corporate structure, our income is primarily derived from dividend payments from our WFOE. We may convert a portion of our revenue into other currencies to meet our foreign currency obligations, such as payments of dividends declared in respect of the ADSs, if any. Shortages in the availability of foreign currency may restrict the ability of our WFOE to remit sufficient foreign currency to pay dividends or other payments to us, or otherwise satisfy their foreign currency denominated obligations.</w:t>
      </w:r>
    </w:p>
    <w:p>
      <w:pPr>
        <w:spacing w:after="0" w:line="181" w:lineRule="exact"/>
        <w:rPr>
          <w:sz w:val="20"/>
          <w:szCs w:val="20"/>
          <w:color w:val="auto"/>
        </w:rPr>
      </w:pPr>
    </w:p>
    <w:p>
      <w:pPr>
        <w:ind w:left="200" w:right="20" w:firstLine="434"/>
        <w:spacing w:after="0" w:line="248"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However, approval from or registration or filings with competent government authorities is required where Renminbi is to be converted into foreign currency and remitted out of China to pay capital expenses such as the repayment of loans denominated in foreign currencies. Pursuant to the SAFE Circular 19, a foreign-invested enterprise may convert up to 100% of the foreign currency in its capital account into Renminbi on a discretionary basis according to the actual needs. The SAFE Circular 16 provides for an integrated standard for conversion of foreign exchange under capital account items on a discretionary basis, which applies to all enterprises registered in China. In addition, the SAFE Circular 16 has narrowed the scope of purposes for which an enterprise must not use the Renminbi funds so converted, which include, among others, (1) payment for expenditure beyond its business scope or otherwise as prohibited by the applicable laws and regulations, (2) investment in securities or other financial products other than banks’ principal-secured products, (3) provision of loans to non-affiliated enterprises, except where it is expressly permitted in the business scope of the enterprise, and (4) construction or purchase of real properties for use by third parties, except for real estate developers. The PRC government may at its discretion further restrict access to foreign currencies for current account transactions or capital account transactions in the future. If the foreign exchange control system prevents us from obtaining sufficient foreign currencies to satisfy our foreign currency needs, we may not be able to pay dividends in foreign currencies to our shareholders. Further, there is no assurance that new regulations will not be promulgated in the future that would have the effect of further restricting the remittance of Renminbi into or out of China.</w:t>
      </w:r>
    </w:p>
    <w:p>
      <w:pPr>
        <w:spacing w:after="0" w:line="298" w:lineRule="exact"/>
        <w:rPr>
          <w:sz w:val="20"/>
          <w:szCs w:val="20"/>
          <w:color w:val="auto"/>
        </w:rPr>
      </w:pPr>
    </w:p>
    <w:p>
      <w:pPr>
        <w:ind w:left="20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some acquisitions of PRC companies by foreign investors, which could make it more difficult for us to pursue growth through acquisitions in China.</w:t>
      </w:r>
    </w:p>
    <w:p>
      <w:pPr>
        <w:spacing w:after="0" w:line="53"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7"/>
          <w:szCs w:val="17"/>
          <w:color w:val="auto"/>
        </w:rPr>
        <w:t>The M&amp;A Rules and some other regulations and rules concerning mergers and acquisitions established complex procedures and requirements for acquisition of Chinese companies by foreign investors, including requirements in some instances that MOFCOM be notified in advance of any change-of-control transaction in which a foreign investor takes control of a PRC domestic enterprise. Moreover, the Anti-monopoly Law promulgated by the SCNPC requires that transactions which are deemed concentrations and involve parties with specified turnover thresholds must be cleared by the anti-monopoly enforcement agency before they can be completed. In addition, the Measures for the Security Review of Foreign Investment promulgated by the NDRC and MOFCOM in December 2020 specify that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 authorities in advance.</w:t>
      </w:r>
    </w:p>
    <w:p>
      <w:pPr>
        <w:spacing w:after="0" w:line="177" w:lineRule="exact"/>
        <w:rPr>
          <w:sz w:val="20"/>
          <w:szCs w:val="20"/>
          <w:color w:val="auto"/>
        </w:rPr>
      </w:pPr>
    </w:p>
    <w:p>
      <w:pPr>
        <w:ind w:left="200" w:right="60" w:firstLine="434"/>
        <w:spacing w:after="0" w:line="252" w:lineRule="auto"/>
        <w:rPr>
          <w:sz w:val="20"/>
          <w:szCs w:val="20"/>
          <w:color w:val="auto"/>
        </w:rPr>
      </w:pPr>
      <w:r>
        <w:rPr>
          <w:rFonts w:ascii="Times New Roman" w:cs="Times New Roman" w:eastAsia="Times New Roman" w:hAnsi="Times New Roman"/>
          <w:sz w:val="18"/>
          <w:szCs w:val="18"/>
          <w:color w:val="auto"/>
        </w:rPr>
        <w:t>In the future, we may pursue potential strategic acquisitions that are complementary to our business. Complying with the requirements of the above-mentioned regulations and other rules to complete such transactions could be time-consuming, and any required approval processes may delay or inhibit our ability to complete such transactions, which could affect our ability to expand business or maintain market share. Furthermore, there is a possibility that the PRC regulators may promulgate new rules or explanations requiring that we obtain the approval of MOFCOM or other PRC government authorities for our mergers and acquisitions. There is no assurance that we can obtain such approval from MOFCOM or any other relevant PRC government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52"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80"/>
        <w:spacing w:after="0" w:line="275" w:lineRule="auto"/>
        <w:rPr>
          <w:sz w:val="20"/>
          <w:szCs w:val="20"/>
          <w:color w:val="auto"/>
        </w:rPr>
      </w:pPr>
      <w:r>
        <w:rPr>
          <w:rFonts w:ascii="Times New Roman" w:cs="Times New Roman" w:eastAsia="Times New Roman" w:hAnsi="Times New Roman"/>
          <w:sz w:val="18"/>
          <w:szCs w:val="18"/>
          <w:color w:val="auto"/>
        </w:rPr>
        <w:t>authorities for our or the VIE’s mergers and acquisitions. Any uncertainties regarding such approval requirements could have a material adverse effect on our business and results of operations and our corporate structure.</w:t>
      </w:r>
    </w:p>
    <w:p>
      <w:pPr>
        <w:spacing w:after="0" w:line="266" w:lineRule="exact"/>
        <w:rPr>
          <w:sz w:val="20"/>
          <w:szCs w:val="20"/>
          <w:color w:val="auto"/>
        </w:rPr>
      </w:pPr>
    </w:p>
    <w:p>
      <w:pPr>
        <w:ind w:left="200"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WFOE, which could materially and adversely affect our liquidity and our ability to fund and expand our business.</w:t>
      </w:r>
    </w:p>
    <w:p>
      <w:pPr>
        <w:spacing w:after="0" w:line="68" w:lineRule="exact"/>
        <w:rPr>
          <w:sz w:val="20"/>
          <w:szCs w:val="20"/>
          <w:color w:val="auto"/>
        </w:rPr>
      </w:pPr>
    </w:p>
    <w:p>
      <w:pPr>
        <w:ind w:left="200" w:firstLine="434"/>
        <w:spacing w:after="0" w:line="283" w:lineRule="auto"/>
        <w:rPr>
          <w:sz w:val="20"/>
          <w:szCs w:val="20"/>
          <w:color w:val="auto"/>
        </w:rPr>
      </w:pPr>
      <w:r>
        <w:rPr>
          <w:rFonts w:ascii="Times New Roman" w:cs="Times New Roman" w:eastAsia="Times New Roman" w:hAnsi="Times New Roman"/>
          <w:sz w:val="17"/>
          <w:szCs w:val="17"/>
          <w:color w:val="auto"/>
        </w:rPr>
        <w:t>QuantaSing Group Limited is a Cayman Islands holding company. We conduct our operations in China through our WFOE and the affiliated entities. We may make loans to our WFOE or the VIE subject to the approval from or registration with government authorities and limitation on amount, or we may make additional capital contributions to our WFOE. Any loan to our WFOE is required to be registered with SAFE or its local branches.</w:t>
      </w:r>
    </w:p>
    <w:p>
      <w:pPr>
        <w:spacing w:after="0" w:line="159" w:lineRule="exact"/>
        <w:rPr>
          <w:sz w:val="20"/>
          <w:szCs w:val="20"/>
          <w:color w:val="auto"/>
        </w:rPr>
      </w:pPr>
    </w:p>
    <w:p>
      <w:pPr>
        <w:ind w:left="200" w:firstLine="434"/>
        <w:spacing w:after="0" w:line="247" w:lineRule="auto"/>
        <w:rPr>
          <w:sz w:val="20"/>
          <w:szCs w:val="20"/>
          <w:color w:val="auto"/>
        </w:rPr>
      </w:pPr>
      <w:r>
        <w:rPr>
          <w:rFonts w:ascii="Times New Roman" w:cs="Times New Roman" w:eastAsia="Times New Roman" w:hAnsi="Times New Roman"/>
          <w:sz w:val="18"/>
          <w:szCs w:val="18"/>
          <w:color w:val="auto"/>
        </w:rPr>
        <w:t>SAFE promulgated the Circular on Reforming of the Management Method of the Settlement of Foreign Currency Capital of Foreign-Invested Enterprises (the “SAFE Circular 19”), effective from June 2015, in replacement of a former regulation.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(the “SAFE Circular 16”), effective from June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The SAFE Circular 19 and SAFE Circular 16 may significantly limit our ability to transfer any foreign currency we hold, including the net proceeds from this offering, to our WFOE, which may adversely affect our liquidity and our ability to fund and expand our business in China. On October 23, 2019, the SAFE promulgated the Circular of Further Facilitating Cross-border Trade and Investment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(the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since the SAFE Circular 28 and SAFE Circular 8 are newly promulgated, it is unclear how SAFE and competent banks will carry this out in practice.</w:t>
      </w:r>
    </w:p>
    <w:p>
      <w:pPr>
        <w:spacing w:after="0" w:line="206" w:lineRule="exact"/>
        <w:rPr>
          <w:sz w:val="20"/>
          <w:szCs w:val="20"/>
          <w:color w:val="auto"/>
        </w:rPr>
      </w:pPr>
    </w:p>
    <w:p>
      <w:pPr>
        <w:jc w:val="both"/>
        <w:ind w:left="200" w:firstLine="434"/>
        <w:spacing w:after="0" w:line="253"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by us to our WFOE or the VIE or their subsidiaries or with respect to future capital contributions by us to our WFOE. If we fail to complete such registrations or obtain such approvals, our ability to use the proceeds from our initial public offering and to capitalize or otherwise fund the PRC operations may be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320" w:top="452"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negatively affected, which could materially and adversely affect our liquidity and the ability to fund and expand our business.</w:t>
      </w:r>
    </w:p>
    <w:p>
      <w:pPr>
        <w:spacing w:after="0" w:line="321" w:lineRule="exact"/>
        <w:rPr>
          <w:sz w:val="20"/>
          <w:szCs w:val="20"/>
          <w:color w:val="auto"/>
        </w:rPr>
      </w:pPr>
    </w:p>
    <w:p>
      <w:pPr>
        <w:ind w:left="200" w:right="2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WFOE to liability or penalties, limit our ability to inject capital into our WFOE, limit our WFOE’s ability to increase its registered capital or distribute profits to us, or may otherwise adversely affect us.</w:t>
      </w:r>
    </w:p>
    <w:p>
      <w:pPr>
        <w:spacing w:after="0" w:line="68"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7"/>
          <w:szCs w:val="17"/>
          <w:color w:val="auto"/>
        </w:rPr>
        <w:t>SAFE promulgated the SAFE Circular on Relevant Issues Relating to Domestic Resident’s Investment and Financing and Roundtrip Investment through Special Purpose Vehicles (the “SAFE Circular 37”) in July 2014. SAFE Circular 37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Circular on Further Simplifying and Improving the Foreign Currency Management Policy on Direct Investment (the “SAFE Circular 13”), effective on June 1, 2015, pursuant to which the power to accept SAFE registration was delegated from local SAFE to local qualified banks where the assets or interest in the domestic entity was located.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77"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WFOE may be prohibited from distributing its profits and proceeds from any reduction in capital, share transfer or liquidation to us, and we may be restricted in our ability to contribute additional capital to our WFOE. Moreover, failure to comply with the SAFE registration described above could result in liability under PRC laws for evasion of applicable foreign exchange restrictions. In addition, our shareholders who are PRC entities shall complete their overseas direct investment filings according to applicable laws and regulations regarding the overseas direct investment by PRC entities, including filings with MOFCOM, the NDRC, or their local branches based on the investment amount, invested industry or other factors thereof.</w:t>
      </w:r>
    </w:p>
    <w:p>
      <w:pPr>
        <w:spacing w:after="0" w:line="185"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We have used our best efforts to notify PRC residents or entities who directly or indirectly hold shares in our Cayman Islands holding company and who are known to us as being PRC residents or entities to complete the foreign exchange registrations or overseas direct investment filings. However, we may not at all times be fully aware or informed of the identities of all the PRC residents or entities holding direct or indirect interest in our company, nor can we compel our beneficial owners to comply with SAFE registration requirements. As of the date of this prospectus, Mr. Peng Li, being the relevant beneficial shareholder of our company, has completed the initial registrations with the local SAFE branch or qualified banks as required by SAFE Circular 37. We cannot assure you that all other shareholders or beneficial owners of ours who are PRC residents or entities have complied with, and will in the future make, obtain or update any applicable registrations, filings or approvals required by SAFE regulations or other regulations relating to overseas investment activities issued by MOFCOM and NDRC. Failure by such shareholders or beneficial owners to comply with such regulations, or failure by us to amend the foreign exchange registrations of our WFOE, could subject us to fines or legal sanctions, restrict our overseas or cross-border investment activities, limit our WFOE’s ability to make distributions or pay dividends to us or affect our ownership structure, which could adversely affect our business and prospects.</w:t>
      </w:r>
    </w:p>
    <w:p>
      <w:pPr>
        <w:spacing w:after="0" w:line="293" w:lineRule="exact"/>
        <w:rPr>
          <w:sz w:val="20"/>
          <w:szCs w:val="20"/>
          <w:color w:val="auto"/>
        </w:rPr>
      </w:pPr>
    </w:p>
    <w:p>
      <w:pPr>
        <w:ind w:left="20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PRC regulations regarding the registration requirements for employee stock ownership plans or share option plans, the PRC plan participants or we could be subject to fines and other legal or administrative sanctions.</w:t>
      </w:r>
    </w:p>
    <w:p>
      <w:pPr>
        <w:spacing w:after="0" w:line="53" w:lineRule="exact"/>
        <w:rPr>
          <w:sz w:val="20"/>
          <w:szCs w:val="20"/>
          <w:color w:val="auto"/>
        </w:rPr>
      </w:pPr>
    </w:p>
    <w:p>
      <w:pPr>
        <w:ind w:left="200" w:right="760" w:firstLine="434"/>
        <w:spacing w:after="0" w:line="275"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2"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49" w:lineRule="auto"/>
        <w:rPr>
          <w:sz w:val="20"/>
          <w:szCs w:val="20"/>
          <w:color w:val="auto"/>
        </w:rPr>
      </w:pPr>
      <w:r>
        <w:rPr>
          <w:rFonts w:ascii="Times New Roman" w:cs="Times New Roman" w:eastAsia="Times New Roman" w:hAnsi="Times New Roman"/>
          <w:sz w:val="18"/>
          <w:szCs w:val="18"/>
          <w:color w:val="auto"/>
        </w:rPr>
        <w:t>Company (the “SAFE Circular 7). Pursuant to SAFE Circular 7, directors, supervisors, senior management and other employees participating in any stock incentive plan of an overseas publicly listed company who are PRC citizens or who are non-PRC citizens residing in China for a continuous period of not less than one year, are required to register with SAFE through a domestic qualified agent, which could be the PRC subsidiary of such overseas-listed company, and complete certain other procedures, unless certain exceptions are available. In addition, an overseas-entrusted institution must be retained to handle matters in connection with the exercise or sale of stock options and the purchase or sale of shares and interests. We and our executive officers and other employees who are PRC citizens or non-PRC citizens living in China for a continuous period of not less than one year and have been granted options are subject to these regulations as our company has become an overseas-listed company. Failure to complete SAFE registrations may subject them to fines of up to RMB50,000 for individuals and may also limit our ability to contribute additional capital into our WFOE and our WFOE’ ability to distribute dividends to us. We also face regulatory uncertainties that could restrict our ability to adopt additional incentive plans for our directors, executive officers and employees under PRC law. See “Regulation — Regulations on Foreign Exchange — Regulations relating to stock incentive plans.”</w:t>
      </w:r>
    </w:p>
    <w:p>
      <w:pPr>
        <w:spacing w:after="0" w:line="191"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In addition, the Ministry of Finance and the State Administration of Taxation (the “SAT”) have issued certain circulars concerning employee share options and restricted shares. Under these circulars, our employees working in China who exercise share options or are granted restricted shares will be subject to PRC individual income tax. Our WFOE has obligations to file documents related to employee share options or restricted shares with relevant tax authorities and to withhold individual income taxes of those employees who exercise their share options or are granted restricted share. If our employees fail to pay or we fail to withhold their income taxes according to relevant laws and regulations, we may face sanctions imposed by the tax authorities or other PRC government authorities.</w:t>
      </w:r>
    </w:p>
    <w:p>
      <w:pPr>
        <w:spacing w:after="0" w:line="288" w:lineRule="exact"/>
        <w:rPr>
          <w:sz w:val="20"/>
          <w:szCs w:val="20"/>
          <w:color w:val="auto"/>
        </w:rPr>
      </w:pPr>
    </w:p>
    <w:p>
      <w:pPr>
        <w:ind w:left="20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3" w:lineRule="exact"/>
        <w:rPr>
          <w:sz w:val="20"/>
          <w:szCs w:val="20"/>
          <w:color w:val="auto"/>
        </w:rPr>
      </w:pPr>
    </w:p>
    <w:p>
      <w:pPr>
        <w:ind w:left="200" w:firstLine="434"/>
        <w:spacing w:after="0" w:line="248"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Regarding the Determination of Chinese-Controlled Offshore Incorporated Enterprises as PRC Tax Resident Enterprises on the Basis of De Facto Management Bodies (the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(1) 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196" w:lineRule="exact"/>
        <w:rPr>
          <w:sz w:val="20"/>
          <w:szCs w:val="20"/>
          <w:color w:val="auto"/>
        </w:rPr>
      </w:pPr>
    </w:p>
    <w:p>
      <w:pPr>
        <w:ind w:left="200" w:right="200" w:firstLine="434"/>
        <w:spacing w:after="0" w:line="256"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subsidiaries outside of China is a PRC resident enterprise for enterprise income tax purposes, we could be subject to PRC tax at a rate of 25% on our worldwide income, which could</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52"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50" w:lineRule="auto"/>
        <w:rPr>
          <w:sz w:val="20"/>
          <w:szCs w:val="20"/>
          <w:color w:val="auto"/>
        </w:rPr>
      </w:pPr>
      <w:r>
        <w:rPr>
          <w:rFonts w:ascii="Times New Roman" w:cs="Times New Roman" w:eastAsia="Times New Roman" w:hAnsi="Times New Roman"/>
          <w:sz w:val="18"/>
          <w:szCs w:val="18"/>
          <w:color w:val="auto"/>
        </w:rPr>
        <w:t>materially reduce our net income, and we will be required to comply with PRC enterprise income tax reporting obligations. In addition, non-resident enterprise shareholders (including the ADS holders) may be subject to PRC tax at a rate of 10% on gains realized on the sale or other disposition of ADSs or our ordinary shares, if such income is treated as sourced from within China. Furthermore, if we are deemed a PRC resident enterprise, dividends payable to our non-PRC individual shareholders (including the ADS holders) and any gain realized on the transfer of ADSs or our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90"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results of operations and financial condition.</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 of equity interests in PRC resident enterprises by their non-PRC holding companies.</w:t>
      </w:r>
    </w:p>
    <w:p>
      <w:pPr>
        <w:spacing w:after="0" w:line="116" w:lineRule="exact"/>
        <w:rPr>
          <w:sz w:val="20"/>
          <w:szCs w:val="20"/>
          <w:color w:val="auto"/>
        </w:rPr>
      </w:pPr>
    </w:p>
    <w:p>
      <w:pPr>
        <w:ind w:left="200" w:right="120" w:firstLine="434"/>
        <w:spacing w:after="0" w:line="250" w:lineRule="auto"/>
        <w:rPr>
          <w:sz w:val="20"/>
          <w:szCs w:val="20"/>
          <w:color w:val="auto"/>
        </w:rPr>
      </w:pPr>
      <w:r>
        <w:rPr>
          <w:rFonts w:ascii="Times New Roman" w:cs="Times New Roman" w:eastAsia="Times New Roman" w:hAnsi="Times New Roman"/>
          <w:sz w:val="18"/>
          <w:szCs w:val="18"/>
          <w:color w:val="auto"/>
        </w:rPr>
        <w:t>On February 3, 2015, the SAT issued the Bulletin on Issues of Enterprise Income Tax on Indirect Transfers of Assets by Non-PRC Resident Enterprises (the “SAT Bulletin 7”). SAT Bulletin 7 extends its tax jurisdiction to transactions involving the transfer of taxable assets through offshore transfer of a foreign intermediate holding company. In addition, SAT Bulletin 7 provides certain criteria on how to assess reasonable commercial purposes and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On October 17, 2017, the SAT issued the Announcement of the State Administration of Taxation on Issues Concerning the Withholding of Non-resident Enterprise Income Tax at Source (the “SAT Bulletin 37”), which came into effect on December 1, 2017. SAT Bulletin 37 further clarifies the practice and procedure of the withholding of non-resident enterprise income tax.</w:t>
      </w:r>
    </w:p>
    <w:p>
      <w:pPr>
        <w:spacing w:after="0" w:line="190" w:lineRule="exact"/>
        <w:rPr>
          <w:sz w:val="20"/>
          <w:szCs w:val="20"/>
          <w:color w:val="auto"/>
        </w:rPr>
      </w:pPr>
    </w:p>
    <w:p>
      <w:pPr>
        <w:ind w:left="200" w:firstLine="434"/>
        <w:spacing w:after="0" w:line="270" w:lineRule="auto"/>
        <w:rPr>
          <w:sz w:val="20"/>
          <w:szCs w:val="20"/>
          <w:color w:val="auto"/>
        </w:rPr>
      </w:pPr>
      <w:r>
        <w:rPr>
          <w:rFonts w:ascii="Times New Roman" w:cs="Times New Roman" w:eastAsia="Times New Roman" w:hAnsi="Times New Roman"/>
          <w:sz w:val="17"/>
          <w:szCs w:val="17"/>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70" w:lineRule="exact"/>
        <w:rPr>
          <w:sz w:val="20"/>
          <w:szCs w:val="20"/>
          <w:color w:val="auto"/>
        </w:rPr>
      </w:pPr>
    </w:p>
    <w:p>
      <w:pPr>
        <w:ind w:left="200" w:right="20" w:firstLine="434"/>
        <w:spacing w:after="0" w:line="272" w:lineRule="auto"/>
        <w:rPr>
          <w:sz w:val="20"/>
          <w:szCs w:val="20"/>
          <w:color w:val="auto"/>
        </w:rPr>
      </w:pPr>
      <w:r>
        <w:rPr>
          <w:rFonts w:ascii="Times New Roman" w:cs="Times New Roman" w:eastAsia="Times New Roman" w:hAnsi="Times New Roman"/>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For transfer of shares in our company by investors who are non-PRC resident enterprises, our WFOE may be requested to assist in the filing under SAT Bulletin 7 and/or SAT Bulletin 37. As a result, we may be required to expend valuable resources to comply with SAT Bulletin 7 and/or SAT Bulletin 37, or to establish that we and our non-PRC resident investors should not be taxed under these circulars, which may have a material and adverse effect on our results of operations and financial condition.</w:t>
      </w:r>
    </w:p>
    <w:p>
      <w:pPr>
        <w:spacing w:after="0" w:line="271" w:lineRule="exact"/>
        <w:rPr>
          <w:sz w:val="20"/>
          <w:szCs w:val="20"/>
          <w:color w:val="auto"/>
        </w:rPr>
      </w:pPr>
    </w:p>
    <w:p>
      <w:pPr>
        <w:ind w:left="20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53" w:lineRule="exact"/>
        <w:rPr>
          <w:sz w:val="20"/>
          <w:szCs w:val="20"/>
          <w:color w:val="auto"/>
        </w:rPr>
      </w:pPr>
    </w:p>
    <w:p>
      <w:pPr>
        <w:ind w:left="200" w:right="300" w:firstLine="434"/>
        <w:spacing w:after="0" w:line="275" w:lineRule="auto"/>
        <w:rPr>
          <w:sz w:val="20"/>
          <w:szCs w:val="20"/>
          <w:color w:val="auto"/>
        </w:rPr>
      </w:pPr>
      <w:r>
        <w:rPr>
          <w:rFonts w:ascii="Times New Roman" w:cs="Times New Roman" w:eastAsia="Times New Roman" w:hAnsi="Times New Roman"/>
          <w:sz w:val="18"/>
          <w:szCs w:val="18"/>
          <w:color w:val="auto"/>
        </w:rPr>
        <w:t>Under PRC laws, legal documents for corporate transactions are executed using the chop or seal of the signing entity or with the signature of a legal representative whose designation is registered and filed with the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40"/>
          </w:cols>
          <w:pgMar w:left="320" w:top="452"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49" w:lineRule="auto"/>
        <w:rPr>
          <w:sz w:val="20"/>
          <w:szCs w:val="20"/>
          <w:color w:val="auto"/>
        </w:rPr>
      </w:pPr>
      <w:r>
        <w:rPr>
          <w:rFonts w:ascii="Times New Roman" w:cs="Times New Roman" w:eastAsia="Times New Roman" w:hAnsi="Times New Roman"/>
          <w:sz w:val="18"/>
          <w:szCs w:val="18"/>
          <w:color w:val="auto"/>
        </w:rPr>
        <w:t>relevant branch of the SAMR. Although we usually utilize chops to enter into contracts, the designated legal representatives of our WFOE and the VIE have the apparent authority to enter into binding contracts on behalf of these entities without chops. In order to maintain the physical security of our chops, we generally have them stored in secure locations accessible only to authorized employees. Although we monitor such authorized employees, the procedures may not be sufficient to prevent all instances of abuse or negligence. There is a risk that our employees could abuse their authority, for instance, by entering into a contract not approved by us or the VIE, or seeking to gain control of any of our subsidiary or the VIE. If any employee obtains, misuses or misappropriates corporate chops and seals or other controlling non-tangible assets for whatever reason, the business operations of the relevant entities could be disrupted. We may have to take corporate or legal action to seek the return of the chops, apply for new chops with the relevant authorities, or otherwise seek legal redress for the violation of the representative’s fiduciary duties against us, which could involve significant time and resources to resolve and divert management attention from business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value of your investment.</w:t>
      </w:r>
    </w:p>
    <w:p>
      <w:pPr>
        <w:spacing w:after="0" w:line="116" w:lineRule="exact"/>
        <w:rPr>
          <w:sz w:val="20"/>
          <w:szCs w:val="20"/>
          <w:color w:val="auto"/>
        </w:rPr>
      </w:pPr>
    </w:p>
    <w:p>
      <w:pPr>
        <w:ind w:left="200" w:right="40" w:firstLine="434"/>
        <w:spacing w:after="0" w:line="272"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the U.S. dollar, is based on rates set by the People’s Bank of China. The Renminbi has fluctuated against the U.S. dollar and other currencies,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and other currencies in the future. It is difficult to predict how market forces or PRC, or U.S. government policy may impact the exchange rate between Renminbi and U.S. dollar in the future.</w:t>
      </w:r>
    </w:p>
    <w:p>
      <w:pPr>
        <w:spacing w:after="0" w:line="169" w:lineRule="exact"/>
        <w:rPr>
          <w:sz w:val="20"/>
          <w:szCs w:val="20"/>
          <w:color w:val="auto"/>
        </w:rPr>
      </w:pPr>
    </w:p>
    <w:p>
      <w:pPr>
        <w:ind w:left="200" w:right="160" w:firstLine="434"/>
        <w:spacing w:after="0" w:line="253" w:lineRule="auto"/>
        <w:rPr>
          <w:sz w:val="20"/>
          <w:szCs w:val="20"/>
          <w:color w:val="auto"/>
        </w:rPr>
      </w:pPr>
      <w:r>
        <w:rPr>
          <w:rFonts w:ascii="Times New Roman" w:cs="Times New Roman" w:eastAsia="Times New Roman" w:hAnsi="Times New Roman"/>
          <w:sz w:val="18"/>
          <w:szCs w:val="18"/>
          <w:color w:val="auto"/>
        </w:rPr>
        <w:t>Any significant appreciation or depreciation of Renminbi may materially and adversely affect our revenues, earnings and financial position, and the value of, and any dividends payable on, the ADSs in U.S. dollars. For instance, to the extent that we or the VIE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w:t>
      </w:r>
    </w:p>
    <w:p>
      <w:pPr>
        <w:spacing w:after="0" w:line="185"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As of the date of this prospectus,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the ADSs and this Offering</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the ADSs may not develop and the trading price for the ADSs may fluctuate significantly.</w:t>
      </w:r>
    </w:p>
    <w:p>
      <w:pPr>
        <w:spacing w:after="0" w:line="116"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We have been approved to list the ADSs on the Nasdaq Global Market.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us and the underwriters based upon</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40"/>
          </w:cols>
          <w:pgMar w:left="320" w:top="452"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20"/>
        <w:spacing w:after="0" w:line="261" w:lineRule="auto"/>
        <w:rPr>
          <w:sz w:val="20"/>
          <w:szCs w:val="20"/>
          <w:color w:val="auto"/>
        </w:rPr>
      </w:pPr>
      <w:r>
        <w:rPr>
          <w:rFonts w:ascii="Times New Roman" w:cs="Times New Roman" w:eastAsia="Times New Roman" w:hAnsi="Times New Roman"/>
          <w:sz w:val="18"/>
          <w:szCs w:val="18"/>
          <w:color w:val="auto"/>
        </w:rPr>
        <w:t>several factors, and we cannot assure you that the trading price of the ADSs after this offering will not decline below the initial public offering price. As a result, investors in our securities may experience a significant decrease in the value of their ADSs and may not be able to resell ADSs at or above the price they paid, or at all.</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could be subject to rapid and substantial volatility, which could result in substantial losses to investors.</w:t>
      </w:r>
    </w:p>
    <w:p>
      <w:pPr>
        <w:spacing w:after="0" w:line="116" w:lineRule="exact"/>
        <w:rPr>
          <w:sz w:val="20"/>
          <w:szCs w:val="20"/>
          <w:color w:val="auto"/>
        </w:rPr>
      </w:pPr>
    </w:p>
    <w:p>
      <w:pPr>
        <w:ind w:left="200" w:right="140" w:firstLine="434"/>
        <w:spacing w:after="0" w:line="256"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operations including the following:</w:t>
      </w:r>
    </w:p>
    <w:p>
      <w:pPr>
        <w:spacing w:after="0" w:line="87" w:lineRule="exact"/>
        <w:rPr>
          <w:sz w:val="20"/>
          <w:szCs w:val="20"/>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revenues, earnings, cash flow and changes or revisions of our expected results;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and courses and expansions by us or our competitors;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service and course offerings or those of our competitors;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valuations of other online learning companies;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affecting China or elsewhere in the world;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18" w:lineRule="exact"/>
        <w:rPr>
          <w:sz w:val="20"/>
          <w:szCs w:val="20"/>
          <w:color w:val="auto"/>
        </w:rPr>
      </w:pPr>
    </w:p>
    <w:p>
      <w:pPr>
        <w:ind w:left="200" w:right="80" w:firstLine="434"/>
        <w:spacing w:after="0" w:line="250"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spacing w:after="0" w:line="187"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Moreover, there have been recent instances of extreme stock price run-ups followed by rapid price declines and strong stock price volatility with a number of recent initial public offerings, particularly among companies with</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320" w:top="452" w:right="5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64" w:lineRule="auto"/>
        <w:rPr>
          <w:sz w:val="20"/>
          <w:szCs w:val="20"/>
          <w:color w:val="auto"/>
        </w:rPr>
      </w:pPr>
      <w:r>
        <w:rPr>
          <w:rFonts w:ascii="Times New Roman" w:cs="Times New Roman" w:eastAsia="Times New Roman" w:hAnsi="Times New Roman"/>
          <w:sz w:val="17"/>
          <w:szCs w:val="17"/>
          <w:color w:val="auto"/>
        </w:rPr>
        <w:t>relatively smaller public floats. As we expect to have a relatively small public float after the completion of this offering, we may experience greater stock price volatility, including aggressive price run-ups and declines, lower trading volume and less liquidity, compared with companies with larger public floats. In particular, the ADSs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the ADSs. In addition, if the trading volumes of the ADSs are low, persons buying or selling in relatively small quantities may easily influence prices of the ADSs. This low volume of trades could also cause the price of the ADSs to fluctuate significantly, with large percentage changes in price occurring in any trading day session. Holders of the ADSs may also not be able to readily liquidate their investment or may be forced to sell at depressed prices due to such low-volume trading. As a result of such volatility, investors may experience losses on their investment in the ADSs. Such volatility also could adversely affect our ability to issue additional ADSs or other securities and our ability to obtain additional financing in the future, as well as our ability to retain key employees, many of whom have been granted equity incentives. Furthermore, the potential extreme volatility may confuse the public investors of the value of the ADSs, distort the market perception of the price of the ADSs, and our financial performance and public image, and negatively affect the long-term liquidity of the ADSs, regardless of our actual or expected operating performance.</w:t>
      </w:r>
    </w:p>
    <w:p>
      <w:pPr>
        <w:spacing w:after="0" w:line="183"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w:t>
      </w:r>
    </w:p>
    <w:p>
      <w:pPr>
        <w:spacing w:after="0" w:line="288" w:lineRule="exact"/>
        <w:rPr>
          <w:sz w:val="20"/>
          <w:szCs w:val="20"/>
          <w:color w:val="auto"/>
        </w:rPr>
      </w:pPr>
    </w:p>
    <w:p>
      <w:pPr>
        <w:jc w:val="both"/>
        <w:ind w:left="200" w:right="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of 1933, and may take advantage of certain reduced reporting requirements. We cannot be certain if the reduced disclosure requirements applicable to emerging growth companies will make the ADSs less attractive to investors.</w:t>
      </w:r>
    </w:p>
    <w:p>
      <w:pPr>
        <w:spacing w:after="0" w:line="68"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specified reduced reporting and other requirements that are otherwise applicable generally to public companies, including, but not limited to:</w:t>
      </w:r>
    </w:p>
    <w:p>
      <w:pPr>
        <w:spacing w:after="0" w:line="83" w:lineRule="exact"/>
        <w:rPr>
          <w:sz w:val="20"/>
          <w:szCs w:val="20"/>
          <w:color w:val="auto"/>
        </w:rPr>
      </w:pPr>
    </w:p>
    <w:p>
      <w:pPr>
        <w:ind w:left="1160" w:right="540" w:hanging="429"/>
        <w:spacing w:after="0" w:line="275"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engage an auditor to report on our internal controls over financial reporting pursuant to Section 404(b) of the Sarbanes-Oxley Act of 2002;</w:t>
      </w:r>
    </w:p>
    <w:p>
      <w:pPr>
        <w:spacing w:after="0" w:line="70" w:lineRule="exact"/>
        <w:rPr>
          <w:rFonts w:ascii="Times New Roman" w:cs="Times New Roman" w:eastAsia="Times New Roman" w:hAnsi="Times New Roman"/>
          <w:sz w:val="18"/>
          <w:szCs w:val="18"/>
          <w:color w:val="auto"/>
        </w:rPr>
      </w:pPr>
    </w:p>
    <w:p>
      <w:pPr>
        <w:ind w:left="1160" w:hanging="429"/>
        <w:spacing w:after="0" w:line="261"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82" w:lineRule="exact"/>
        <w:rPr>
          <w:rFonts w:ascii="Times New Roman" w:cs="Times New Roman" w:eastAsia="Times New Roman" w:hAnsi="Times New Roman"/>
          <w:sz w:val="18"/>
          <w:szCs w:val="18"/>
          <w:color w:val="auto"/>
        </w:rPr>
      </w:pPr>
    </w:p>
    <w:p>
      <w:pPr>
        <w:ind w:left="1160" w:right="1180" w:hanging="429"/>
        <w:spacing w:after="0" w:line="275"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“say-on-golden-parachutes”; and</w:t>
      </w:r>
    </w:p>
    <w:p>
      <w:pPr>
        <w:spacing w:after="0" w:line="70" w:lineRule="exact"/>
        <w:rPr>
          <w:rFonts w:ascii="Times New Roman" w:cs="Times New Roman" w:eastAsia="Times New Roman" w:hAnsi="Times New Roman"/>
          <w:sz w:val="18"/>
          <w:szCs w:val="18"/>
          <w:color w:val="auto"/>
        </w:rPr>
      </w:pPr>
    </w:p>
    <w:p>
      <w:pPr>
        <w:ind w:left="1160" w:right="140" w:hanging="429"/>
        <w:spacing w:after="0" w:line="275"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64" w:lineRule="exact"/>
        <w:rPr>
          <w:sz w:val="20"/>
          <w:szCs w:val="20"/>
          <w:color w:val="auto"/>
        </w:rPr>
      </w:pPr>
    </w:p>
    <w:p>
      <w:pPr>
        <w:jc w:val="both"/>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 addition, as an emerging growth company, we are only required to provide two years of audited financial statements and two years of selected financial data (in addition to any required interim financial statements and selected financial data) in our annual reports, and to present correspondingly reduced disclosure in “Management’s Discussion and Analysis of Financial Condition and Results of Operations.”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40"/>
          </w:cols>
          <w:pgMar w:left="320" w:top="452"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have elected to take advantage of the reduced disclosure obligations as an emerging growth company. As a result, the information that we provide to the ADS 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(1) are no longer an emerging growth company or (2)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securities less attractive because of our reliance on these exemptions. If some investors do find the ADSs less attractive, there may be a less active trading market for the ADSs and the price of the ADSs may be reduced or more volatile.</w:t>
      </w:r>
    </w:p>
    <w:p>
      <w:pPr>
        <w:spacing w:after="0" w:line="187" w:lineRule="exact"/>
        <w:rPr>
          <w:sz w:val="20"/>
          <w:szCs w:val="20"/>
          <w:color w:val="auto"/>
        </w:rPr>
      </w:pPr>
    </w:p>
    <w:p>
      <w:pPr>
        <w:ind w:left="200" w:right="40" w:firstLine="434"/>
        <w:spacing w:after="0" w:line="269" w:lineRule="auto"/>
        <w:rPr>
          <w:sz w:val="20"/>
          <w:szCs w:val="20"/>
          <w:color w:val="auto"/>
        </w:rPr>
      </w:pPr>
      <w:r>
        <w:rPr>
          <w:rFonts w:ascii="Times New Roman" w:cs="Times New Roman" w:eastAsia="Times New Roman" w:hAnsi="Times New Roman"/>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(1) the last day of the first fiscal year in which our annual gross revenues are US$1.235 billion or more;</w:t>
      </w:r>
    </w:p>
    <w:p>
      <w:pPr>
        <w:ind w:left="200" w:right="260" w:hanging="1"/>
        <w:spacing w:after="0" w:line="253" w:lineRule="auto"/>
        <w:tabs>
          <w:tab w:leader="none" w:pos="4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US$1.0 billion in non-convertible debt securities; and (3) the date that we become a “large accelerated filer” as defined in Rule 12b-2 under the Exchange Act.</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116" w:lineRule="exact"/>
        <w:rPr>
          <w:sz w:val="20"/>
          <w:szCs w:val="20"/>
          <w:color w:val="auto"/>
        </w:rPr>
      </w:pPr>
    </w:p>
    <w:p>
      <w:pPr>
        <w:ind w:left="200" w:right="440" w:firstLine="434"/>
        <w:spacing w:after="0" w:line="256" w:lineRule="auto"/>
        <w:rPr>
          <w:sz w:val="20"/>
          <w:szCs w:val="20"/>
          <w:color w:val="auto"/>
        </w:rPr>
      </w:pPr>
      <w:r>
        <w:rPr>
          <w:rFonts w:ascii="Times New Roman" w:cs="Times New Roman" w:eastAsia="Times New Roman" w:hAnsi="Times New Roman"/>
          <w:sz w:val="18"/>
          <w:szCs w:val="18"/>
          <w:color w:val="auto"/>
        </w:rPr>
        <w:t>We have become a public company and expect to incur significant legal, accounting and other expenses that we did not incur as a private company. The Sarbanes-Oxley Act of 2002, as well as rules subsequently implemented by the SEC and the 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1" w:lineRule="exact"/>
        <w:rPr>
          <w:sz w:val="20"/>
          <w:szCs w:val="20"/>
          <w:color w:val="auto"/>
        </w:rPr>
      </w:pPr>
    </w:p>
    <w:p>
      <w:pPr>
        <w:ind w:left="200" w:right="100" w:firstLine="434"/>
        <w:spacing w:after="0" w:line="251"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87" w:lineRule="exact"/>
        <w:rPr>
          <w:sz w:val="20"/>
          <w:szCs w:val="20"/>
          <w:color w:val="auto"/>
        </w:rPr>
      </w:pPr>
    </w:p>
    <w:p>
      <w:pPr>
        <w:jc w:val="both"/>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278" w:lineRule="exact"/>
        <w:rPr>
          <w:sz w:val="20"/>
          <w:szCs w:val="20"/>
          <w:color w:val="auto"/>
        </w:rPr>
      </w:pPr>
    </w:p>
    <w:p>
      <w:pPr>
        <w:ind w:left="20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3" w:lineRule="exact"/>
        <w:rPr>
          <w:sz w:val="20"/>
          <w:szCs w:val="20"/>
          <w:color w:val="auto"/>
        </w:rPr>
      </w:pPr>
    </w:p>
    <w:p>
      <w:pPr>
        <w:ind w:left="200" w:right="660" w:firstLine="434"/>
        <w:spacing w:after="0" w:line="275"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1" w:lineRule="exact"/>
        <w:rPr>
          <w:sz w:val="20"/>
          <w:szCs w:val="20"/>
          <w:color w:val="auto"/>
        </w:rPr>
      </w:pPr>
    </w:p>
    <w:p>
      <w:pPr>
        <w:ind w:left="5540" w:right="340" w:hanging="4809"/>
        <w:spacing w:after="0" w:line="445" w:lineRule="auto"/>
        <w:tabs>
          <w:tab w:leader="none" w:pos="11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 78</w:t>
      </w:r>
    </w:p>
    <w:p>
      <w:pPr>
        <w:sectPr>
          <w:pgSz w:w="11900" w:h="16838" w:orient="portrait"/>
          <w:cols w:equalWidth="0" w:num="1">
            <w:col w:w="10980"/>
          </w:cols>
          <w:pgMar w:left="320" w:top="452" w:right="5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right="120" w:hanging="429"/>
        <w:spacing w:after="0" w:line="275"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70" w:lineRule="exact"/>
        <w:rPr>
          <w:rFonts w:ascii="Times New Roman" w:cs="Times New Roman" w:eastAsia="Times New Roman" w:hAnsi="Times New Roman"/>
          <w:sz w:val="18"/>
          <w:szCs w:val="18"/>
          <w:color w:val="auto"/>
        </w:rPr>
      </w:pPr>
    </w:p>
    <w:p>
      <w:pPr>
        <w:ind w:left="1160" w:right="340" w:hanging="429"/>
        <w:spacing w:after="0" w:line="275"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18" w:lineRule="exact"/>
        <w:rPr>
          <w:sz w:val="20"/>
          <w:szCs w:val="20"/>
          <w:color w:val="auto"/>
        </w:rPr>
      </w:pPr>
    </w:p>
    <w:p>
      <w:pPr>
        <w:ind w:left="200" w:right="120" w:firstLine="434"/>
        <w:spacing w:after="0" w:line="253"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8" w:lineRule="exact"/>
        <w:rPr>
          <w:sz w:val="20"/>
          <w:szCs w:val="20"/>
          <w:color w:val="auto"/>
        </w:rPr>
      </w:pPr>
    </w:p>
    <w:p>
      <w:pPr>
        <w:jc w:val="both"/>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53" w:lineRule="exact"/>
        <w:rPr>
          <w:sz w:val="20"/>
          <w:szCs w:val="20"/>
          <w:color w:val="auto"/>
        </w:rPr>
      </w:pPr>
    </w:p>
    <w:p>
      <w:pPr>
        <w:jc w:val="both"/>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16"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5" w:lineRule="exact"/>
        <w:rPr>
          <w:sz w:val="20"/>
          <w:szCs w:val="20"/>
          <w:color w:val="auto"/>
        </w:rPr>
      </w:pPr>
    </w:p>
    <w:p>
      <w:pPr>
        <w:ind w:left="200" w:right="320" w:firstLine="434"/>
        <w:spacing w:after="0" w:line="253" w:lineRule="auto"/>
        <w:rPr>
          <w:sz w:val="20"/>
          <w:szCs w:val="20"/>
          <w:color w:val="auto"/>
        </w:rPr>
      </w:pPr>
      <w:r>
        <w:rPr>
          <w:rFonts w:ascii="Times New Roman" w:cs="Times New Roman" w:eastAsia="Times New Roman" w:hAnsi="Times New Roman"/>
          <w:sz w:val="18"/>
          <w:szCs w:val="18"/>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5" w:lineRule="exact"/>
        <w:rPr>
          <w:sz w:val="20"/>
          <w:szCs w:val="20"/>
          <w:color w:val="auto"/>
        </w:rPr>
      </w:pPr>
    </w:p>
    <w:p>
      <w:pPr>
        <w:ind w:left="200" w:right="420" w:firstLine="434"/>
        <w:spacing w:after="0" w:line="252" w:lineRule="auto"/>
        <w:rPr>
          <w:sz w:val="20"/>
          <w:szCs w:val="20"/>
          <w:color w:val="auto"/>
        </w:rPr>
      </w:pPr>
      <w:r>
        <w:rPr>
          <w:rFonts w:ascii="Times New Roman" w:cs="Times New Roman" w:eastAsia="Times New Roman" w:hAnsi="Times New Roman"/>
          <w:sz w:val="18"/>
          <w:szCs w:val="18"/>
          <w:color w:val="auto"/>
        </w:rPr>
        <w:t>We may be the subject of unfavorable allegations made by short sellers in the future. Any such allegations may be followed by periods of instability in the market price of our ordinary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40"/>
          </w:cols>
          <w:pgMar w:left="320" w:top="452"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300"/>
        <w:spacing w:after="0" w:line="261" w:lineRule="auto"/>
        <w:rPr>
          <w:sz w:val="20"/>
          <w:szCs w:val="20"/>
          <w:color w:val="auto"/>
        </w:rPr>
      </w:pPr>
      <w:r>
        <w:rPr>
          <w:rFonts w:ascii="Times New Roman" w:cs="Times New Roman" w:eastAsia="Times New Roman" w:hAnsi="Times New Roman"/>
          <w:sz w:val="18"/>
          <w:szCs w:val="18"/>
          <w:color w:val="auto"/>
        </w:rPr>
        <w:t>and time-consuming and could distract our management from growing our business. Even if such allegations are ultimately proven to be groundless, allegations against us could severely impact our business and shareholders’ equity, and the value of any investment in the ADSs could be greatly reduced or rendered worthless.</w:t>
      </w:r>
    </w:p>
    <w:p>
      <w:pPr>
        <w:spacing w:after="0" w:line="278" w:lineRule="exact"/>
        <w:rPr>
          <w:sz w:val="20"/>
          <w:szCs w:val="20"/>
          <w:color w:val="auto"/>
        </w:rPr>
      </w:pPr>
    </w:p>
    <w:p>
      <w:pPr>
        <w:ind w:left="20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53"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approximately US$12.32 per ADS, representing the difference between (1) the initial public offering price of US$12.50 per ADS, and (2) our adjusted net tangible book value of US$0.18 per ADS as of September 30, 2022, after giving effect to our sale of the ADSs offered in this offering. In addition, you may experience further dilution in connection with the issuance of Class A ordinary shares upon the exercise or vesting, as the case may be, of our share incentive awards when we grant such share-based awards. To the extent that any of these options are vested and exercised, there will be further dilution to new investors. See “Dilution” for a more complete description of how the value of your investment in the ADSs will be diluted upon completion of this offering.</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could adversely affect their market price.</w:t>
      </w:r>
    </w:p>
    <w:p>
      <w:pPr>
        <w:spacing w:after="0" w:line="11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of 1933, as amended (the “Securities Act”), and shares held by our existing shareholders may also be sold in the public market in the future subject to the restrictions in Rule 144 and Rule 701 under the Securities Act and the applicable lock-up agreements. There will be 3,250,000 ADSs (equivalent to 9,750,000 Class A ordinary shares) outstanding immediately after this offering, or 3,737,500 ADSs (equivalent to 11,212,500 Class A ordinary shares) if the underwriters exercise their option to purchase additional ADSs in full. In connection with this offering, we, our directors and executive officers, and existing shareholders have agreed not to sell, transfer or dispose of any ADSs, ordinary shares or similar securities for a period of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w:t>
      </w:r>
    </w:p>
    <w:p>
      <w:pPr>
        <w:spacing w:after="0" w:line="193"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After completion of this offering, certain shareholders may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such registration. We cannot predict what effect, if any, market sales of securities held by our significant shareholders or any other shareholder or the availability of these securities for future sale will have on the market price of the ADSs. See “Underwriting” and “Shares Eligible for Future Sale” for a more detailed description of the restrictions on selling our securities after this offering.</w:t>
      </w:r>
    </w:p>
    <w:p>
      <w:pPr>
        <w:spacing w:after="0" w:line="185"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In addition, as of the date of this prospectus, we have granted certain options to employees under our share incentive plans, which are not exercised as of the date of this prospectus. We may grant additional options or share-based awards to employees, directors and consultants in the future. To the extent that any of these options are vested and exercised, and any of such shares are sold in the market, it could have an adverse effect on the market price of the ADSs.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2"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principal shareholders and certain investors would reduce the available public float for the ADS.</w:t>
      </w:r>
    </w:p>
    <w:p>
      <w:pPr>
        <w:spacing w:after="0" w:line="116" w:lineRule="exact"/>
        <w:rPr>
          <w:sz w:val="20"/>
          <w:szCs w:val="20"/>
          <w:color w:val="auto"/>
        </w:rPr>
      </w:pPr>
    </w:p>
    <w:p>
      <w:pPr>
        <w:ind w:left="200" w:right="20" w:firstLine="433"/>
        <w:spacing w:after="0" w:line="253" w:lineRule="auto"/>
        <w:tabs>
          <w:tab w:leader="none" w:pos="8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entities affiliated with DCM, one of our principal shareholders and an affiliate of one of our directors, and (2) Harvest International Premium Value (Secondary Market) Fund SPC for the account of Harvest Great Bay Investment SP, an investment fund managed by Harvest Global Capital Investments Limited, have subscribed for, and have been allocated by, the underwriters, an aggregate of 400,000 and 800,000 ADSs at the initial public offering price and on the same terms as the other ADSs being offered, respectively. Such purchase may reduce the available public float for the ADS and the liquidity of the ADS relative to what it would have been had these ADSs been purchased by other investors.</w:t>
      </w:r>
    </w:p>
    <w:p>
      <w:pPr>
        <w:spacing w:after="0" w:line="288" w:lineRule="exact"/>
        <w:rPr>
          <w:sz w:val="20"/>
          <w:szCs w:val="20"/>
          <w:color w:val="auto"/>
        </w:rPr>
      </w:pPr>
    </w:p>
    <w:p>
      <w:pPr>
        <w:ind w:left="200"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53"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Our authorized share capital is and will continue to be divided into Class A ordinary shares and Class B ordinary shares after this offering (with certain shares remaining undesignated, with power for our directors to designate and issue such classes of shares as they think fit). Holders of Class A ordinary shares are and will continue to be entitled to one vote per share, while holders of Class B ordinary shares are and will continue to be entitled to ten votes per share. We will issue Class A ordinary shares represented by the ADSs in this offering. Each Class B ordinary share is convertible into one Class A ordinary share at any time by the holder thereof, while Class A ordinary shares are not convertible into Class B ordinary shares under any circumstances. After this offering, the holder of Class B ordinary shares will have the ability to control matters requiring shareholders’ approval, including any amendment of our memorandum and articles of association.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In the event that we have multiple holders of Class B ordinary shares in the future and certain of them convert their Class B ordinary shares into Class A ordinary shares, the remaining holders who retain their Class B ordinary shares may experience increases in their relative voting power.</w:t>
      </w:r>
    </w:p>
    <w:p>
      <w:pPr>
        <w:spacing w:after="0" w:line="189"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Upon the completion of this offering, Mr. Peng Li, will beneficially own all of our issued Class B ordinary shares. These Class B ordinary shares will constitute 30.2% of our total issued and outstanding share capital immediately after the completion of this offering and 81.2% of the aggregate voting power of our total issued and outstanding share capital immediately after the completion of this offering due to the disparate voting powers associated with our dual-class share structure, assuming the underwriters do not exercise their option to purchase additional ADSs. As a result of the dual-class share structure and the concentration of ownership, holders of Class B ordinary shares have and will continue to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founder, Mr. Peng Li, will have considerable influence over us and our corporate matters.</w:t>
      </w:r>
    </w:p>
    <w:p>
      <w:pPr>
        <w:spacing w:after="0" w:line="116" w:lineRule="exact"/>
        <w:rPr>
          <w:sz w:val="20"/>
          <w:szCs w:val="20"/>
          <w:color w:val="auto"/>
        </w:rPr>
      </w:pPr>
    </w:p>
    <w:p>
      <w:pPr>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assuming the underwriters do not exercise their option to purchase additional ADSs, our founder, Mr. Peng Li, will hold all of our issued and outstanding Class B ordinary shares, representing 81.2% of our total voting power. Mr. Peng Li will have considerable power to control actions that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320" w:top="452" w:right="5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spacing w:after="0" w:line="253" w:lineRule="auto"/>
        <w:rPr>
          <w:sz w:val="20"/>
          <w:szCs w:val="20"/>
          <w:color w:val="auto"/>
        </w:rPr>
      </w:pPr>
      <w:r>
        <w:rPr>
          <w:rFonts w:ascii="Times New Roman" w:cs="Times New Roman" w:eastAsia="Times New Roman" w:hAnsi="Times New Roman"/>
          <w:sz w:val="18"/>
          <w:szCs w:val="18"/>
          <w:color w:val="auto"/>
        </w:rPr>
        <w:t>require shareholder approval under Cayman Islands law, such as electing directors, approving material mergers, acquisitions or other business combination transactions and amending our memorandum and articles of association. This control will limit your ability to influence corporate matters and may prevent transactions that would be beneficial to you, including discouraging others from pursuing any potential merger, takeover or other change of control transactions, which could have the effect of depriving the holders of our Class A ordinary shares and the ADSs of the opportunity to sell their shares at a premium over the prevailing market price.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the ADSs.</w:t>
      </w:r>
    </w:p>
    <w:p>
      <w:pPr>
        <w:spacing w:after="0" w:line="1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292"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the ADSs for return on your investment.</w:t>
      </w:r>
    </w:p>
    <w:p>
      <w:pPr>
        <w:spacing w:after="0" w:line="53" w:lineRule="exact"/>
        <w:rPr>
          <w:sz w:val="20"/>
          <w:szCs w:val="20"/>
          <w:color w:val="auto"/>
        </w:rPr>
      </w:pPr>
    </w:p>
    <w:p>
      <w:pPr>
        <w:jc w:val="both"/>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295" w:lineRule="exact"/>
        <w:rPr>
          <w:sz w:val="20"/>
          <w:szCs w:val="20"/>
          <w:color w:val="auto"/>
        </w:rPr>
      </w:pPr>
    </w:p>
    <w:p>
      <w:pPr>
        <w:ind w:left="20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53"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and our management will have considerable discretion in deciding how to apply these proceeds, including for any of the purposes described in the section entitled “Use of Proceeds.” Because of the number and variability of factors that will determine our use of our net proceeds from this offering, their ultimate use may vary substantially from their currently intended use. This creates uncertainty for the ADS holders and could affect our business, prospects, results of operations and financial condition. You will not have the opportunity to assess whether the proceeds are being used appropriately before you make your investment decision. You must rely on the judgment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40"/>
          </w:cols>
          <w:pgMar w:left="320" w:top="452"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of our management regarding the application of the net proceeds of this offering. We cannot assure you that the net proceeds will be used in a manner that will improve our results of operations or increase the ADS price, nor that these net proceeds will be placed only in investments that generate income or appreciate in value.</w:t>
      </w:r>
    </w:p>
    <w:p>
      <w:pPr>
        <w:spacing w:after="0" w:line="278" w:lineRule="exact"/>
        <w:rPr>
          <w:sz w:val="20"/>
          <w:szCs w:val="20"/>
          <w:color w:val="auto"/>
        </w:rPr>
      </w:pPr>
    </w:p>
    <w:p>
      <w:pPr>
        <w:ind w:left="20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 and our operations are primarily conducted in emerging markets.</w:t>
      </w:r>
    </w:p>
    <w:p>
      <w:pPr>
        <w:spacing w:after="0" w:line="53"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post-offering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93"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(save for our memorandum and articles of association, our register of mortgages and charges and special resolutions of our shareholders). Our directors have discretion under our amended and restated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left="200" w:right="220" w:firstLine="434"/>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and substantially all of our assets are located in China. The SEC, U.S. Department of Justice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China, as shareholder claims that are common in the United States, including class action securities law and fraud claims, generally are difficult or impossible to pursue as a matter of law or practicality in many emerging markets, including China.</w:t>
      </w:r>
    </w:p>
    <w:p>
      <w:pPr>
        <w:spacing w:after="0" w:line="185" w:lineRule="exact"/>
        <w:rPr>
          <w:sz w:val="20"/>
          <w:szCs w:val="20"/>
          <w:color w:val="auto"/>
        </w:rPr>
      </w:pPr>
    </w:p>
    <w:p>
      <w:pPr>
        <w:ind w:left="200" w:right="140" w:firstLine="434"/>
        <w:spacing w:after="0" w:line="276"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 — Differences in Corporate Law.”</w:t>
      </w:r>
    </w:p>
    <w:p>
      <w:pPr>
        <w:spacing w:after="0" w:line="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320" w:top="452" w:right="5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200"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p>
      <w:pPr>
        <w:spacing w:after="0" w:line="68"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are subject to the Nasdaq Stock Market listing standards, which requires listed companies to have, among other things, a majority of their board members to be independent and independent director oversight of executive compensation and nomination of directors.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listing standards.</w:t>
      </w:r>
    </w:p>
    <w:p>
      <w:pPr>
        <w:spacing w:after="0" w:line="181" w:lineRule="exact"/>
        <w:rPr>
          <w:sz w:val="20"/>
          <w:szCs w:val="20"/>
          <w:color w:val="auto"/>
        </w:rPr>
      </w:pPr>
    </w:p>
    <w:p>
      <w:pPr>
        <w:ind w:left="200" w:right="100" w:firstLine="434"/>
        <w:spacing w:after="0" w:line="26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We currently intend to follow Cayman Islands corporate governance practices in lieu of the corporate governance standards of the Nasdaq Stock Market that listed companies must: (1) have a majority of independent directors, (2) have a nominating/corporate governance committee composed entirely of independent directors,</w:t>
      </w:r>
    </w:p>
    <w:p>
      <w:pPr>
        <w:ind w:left="460" w:hanging="261"/>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audit committee composed of at least three members, (4) obtain shareholders’ approval for issuance of securities in certain situations, and</w:t>
      </w:r>
    </w:p>
    <w:p>
      <w:pPr>
        <w:spacing w:after="0" w:line="5" w:lineRule="exact"/>
        <w:rPr>
          <w:rFonts w:ascii="Times New Roman" w:cs="Times New Roman" w:eastAsia="Times New Roman" w:hAnsi="Times New Roman"/>
          <w:sz w:val="18"/>
          <w:szCs w:val="18"/>
          <w:color w:val="auto"/>
        </w:rPr>
      </w:pPr>
    </w:p>
    <w:p>
      <w:pPr>
        <w:ind w:left="200" w:right="100" w:hanging="1"/>
        <w:spacing w:after="0" w:line="253" w:lineRule="auto"/>
        <w:tabs>
          <w:tab w:leader="none" w:pos="4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annual shareholders’ meetings. To the extent that we choose to follow home country practice, our shareholders may be afforded less protection than they would otherwise enjoy if we complied fully with the Nasdaq Stock Market listing standards.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16" w:lineRule="exact"/>
        <w:rPr>
          <w:sz w:val="20"/>
          <w:szCs w:val="20"/>
          <w:color w:val="auto"/>
        </w:rPr>
      </w:pPr>
    </w:p>
    <w:p>
      <w:pPr>
        <w:ind w:left="200" w:right="60" w:firstLine="434"/>
        <w:spacing w:after="0" w:line="252" w:lineRule="auto"/>
        <w:rPr>
          <w:sz w:val="20"/>
          <w:szCs w:val="20"/>
          <w:color w:val="auto"/>
        </w:rPr>
      </w:pPr>
      <w:r>
        <w:rPr>
          <w:rFonts w:ascii="Times New Roman" w:cs="Times New Roman" w:eastAsia="Times New Roman" w:hAnsi="Times New Roman"/>
          <w:sz w:val="18"/>
          <w:szCs w:val="18"/>
          <w:color w:val="auto"/>
        </w:rPr>
        <w:t>We conduct our business in China and substantially all of our assets are located in China. In addition, most of our current directors and senior executive officers are nationals and residents of jurisdictions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PRC laws and the laws of the Cayman Islands may render you unable to enforce a judgment against our assets or the assets of our directors and officers. For more information regarding the relevant laws of the Cayman Islands and China, see “Enforceability of Civil Liabilities.”</w:t>
      </w:r>
    </w:p>
    <w:p>
      <w:pPr>
        <w:spacing w:after="0" w:line="288" w:lineRule="exact"/>
        <w:rPr>
          <w:sz w:val="20"/>
          <w:szCs w:val="20"/>
          <w:color w:val="auto"/>
        </w:rPr>
      </w:pPr>
    </w:p>
    <w:p>
      <w:pPr>
        <w:ind w:left="200"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Nasdaq Stock Market listing rules and, as a result, may rely on exemptions from certain corporate governance requirements that provide protection to shareholders of other companies.</w:t>
      </w:r>
    </w:p>
    <w:p>
      <w:pPr>
        <w:spacing w:after="0" w:line="53" w:lineRule="exact"/>
        <w:rPr>
          <w:sz w:val="20"/>
          <w:szCs w:val="20"/>
          <w:color w:val="auto"/>
        </w:rPr>
      </w:pPr>
    </w:p>
    <w:p>
      <w:pPr>
        <w:ind w:left="200" w:right="40" w:firstLine="434"/>
        <w:spacing w:after="0" w:line="265" w:lineRule="auto"/>
        <w:rPr>
          <w:sz w:val="20"/>
          <w:szCs w:val="20"/>
          <w:color w:val="auto"/>
        </w:rPr>
      </w:pPr>
      <w:r>
        <w:rPr>
          <w:rFonts w:ascii="Times New Roman" w:cs="Times New Roman" w:eastAsia="Times New Roman" w:hAnsi="Times New Roman"/>
          <w:sz w:val="17"/>
          <w:szCs w:val="17"/>
          <w:color w:val="auto"/>
        </w:rPr>
        <w:t>We will be a “controlled company” as defined under the Nasdaq Stock Market listing rules because Mr. Peng Li, our founder, will continue to control more than 50% of our total voting power immediately after the completion of this offering. Pursuant to our post-offering memorandum and articles of association, an ordinary resolution to be passed at a shareholders’ meeting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post-offering memorandum and articles of association. As a result, Mr. Peng Li will have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do not currently plan to utilize the exemptions available for controlled companies after we complete this offering, but instead, we plan to rely on the exemption available for foreign private issuers to follow our home country governance practices. See “— Risks Related to the ADSs and this Offering — As an exempted company incorporated in the Cayman Islands, we are permitted to adopt certain home country practices for corporate governance matters that differ significantly from the Nasdaq Stock Market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40"/>
          </w:cols>
          <w:pgMar w:left="320" w:top="452"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corporate governance listing standards; these practices may afford less protection to shareholders than they would enjoy if we complied fully with the corporate governance listing standards.”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spacing w:after="0" w:line="283" w:lineRule="exact"/>
        <w:rPr>
          <w:sz w:val="20"/>
          <w:szCs w:val="20"/>
          <w:color w:val="auto"/>
        </w:rPr>
      </w:pPr>
    </w:p>
    <w:p>
      <w:pPr>
        <w:ind w:left="20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the Nasdaq Stock Market or obtain or maintain a listing of the ADSs on the Nasdaq Stock Market.</w:t>
      </w:r>
    </w:p>
    <w:p>
      <w:pPr>
        <w:spacing w:after="0" w:line="53" w:lineRule="exact"/>
        <w:rPr>
          <w:sz w:val="20"/>
          <w:szCs w:val="20"/>
          <w:color w:val="auto"/>
        </w:rPr>
      </w:pPr>
    </w:p>
    <w:p>
      <w:pPr>
        <w:ind w:left="200" w:firstLine="434"/>
        <w:spacing w:after="0" w:line="276" w:lineRule="auto"/>
        <w:rPr>
          <w:sz w:val="20"/>
          <w:szCs w:val="20"/>
          <w:color w:val="auto"/>
        </w:rPr>
      </w:pPr>
      <w:r>
        <w:rPr>
          <w:rFonts w:ascii="Times New Roman" w:cs="Times New Roman" w:eastAsia="Times New Roman" w:hAnsi="Times New Roman"/>
          <w:sz w:val="17"/>
          <w:szCs w:val="17"/>
          <w:color w:val="auto"/>
        </w:rPr>
        <w:t>As the ADSs are listed on the Nasdaq Stock Market, we must meet certain financial and liquidity criteria to maintain such listing. If we violate the Nasdaq Stock Market’s listing requirements, or if we fail to meet any of the Nasdaq Stock Market’s listing standards, the ADSs may be delisted. In addition, our board of directors may determine that the cost of maintaining our listing on a national securities exchange outweighs the benefits of such listing. The delisting of the ADSs from the Nasdaq Stock Market could significantly impair our ability to raise capital and the value of your investment.</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You, as holders of ADSs, may have fewer rights than holders of our ordinary shares and must act through the depositary to exercise those rights.</w:t>
      </w:r>
    </w:p>
    <w:p>
      <w:pPr>
        <w:spacing w:after="0" w:line="116"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that are carried by the underlying Class A ordinary shares represented by your ADSs indirectly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such ordinary shares and become the registered holder of such shares prior to the record date for the general meeting.</w:t>
      </w:r>
    </w:p>
    <w:p>
      <w:pPr>
        <w:spacing w:after="0" w:line="295" w:lineRule="exact"/>
        <w:rPr>
          <w:sz w:val="20"/>
          <w:szCs w:val="20"/>
          <w:color w:val="auto"/>
        </w:rPr>
      </w:pPr>
    </w:p>
    <w:p>
      <w:pPr>
        <w:ind w:left="20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53"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As a holder of the ADSs, you will only be able to exercise the voting rights with respect to the underlying Class A ordinary shares represented by your ADSs in accordance with the provisions of the deposit agreement. Under the deposit agreement, you must vote by giving voting instructions to the depositary. Upon receipt of your voting instructions, the depositary will vote the underlying Class A ordinary shares represented by your ADSs in accordance with these instructions. You will not be able to directly exercise your right to vote with respect to the underlying Class A ordinary shares represented by your ADSs unless you cancel and withdraw such ordinary shares. Under our second amended and restated memorandum and articles of association that will become effective immediately prior to the completion of this offering, the minimum notice period required for convening a general meeting is ten calendar days. When a general meeting is convened, you may not receive sufficient advance notice to withdraw the underlying Class A ordinary shares represented by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320" w:top="452" w:right="5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75" w:lineRule="auto"/>
        <w:rPr>
          <w:sz w:val="20"/>
          <w:szCs w:val="20"/>
          <w:color w:val="auto"/>
        </w:rPr>
      </w:pPr>
      <w:r>
        <w:rPr>
          <w:rFonts w:ascii="Times New Roman" w:cs="Times New Roman" w:eastAsia="Times New Roman" w:hAnsi="Times New Roman"/>
          <w:sz w:val="18"/>
          <w:szCs w:val="18"/>
          <w:color w:val="auto"/>
        </w:rPr>
        <w:t>that you may not be able to exercise your right to vote and you may have no legal remedy if the underlying Class A ordinary shares represented by your ADSs are not voted as you requested.</w:t>
      </w:r>
    </w:p>
    <w:p>
      <w:pPr>
        <w:spacing w:after="0" w:line="266" w:lineRule="exact"/>
        <w:rPr>
          <w:sz w:val="20"/>
          <w:szCs w:val="20"/>
          <w:color w:val="auto"/>
        </w:rPr>
      </w:pPr>
    </w:p>
    <w:p>
      <w:pPr>
        <w:ind w:left="200"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proxy to a person designated by us to vote our Class A ordinary shares represented by your ADSs in a manner consistent with the recommendation(s) made by our board of directors as set forth in the proxy statement or other voting materials in connection with the matter(s) submitted for voting if you do not vote at shareholders’ meetings or if the depositary or we do not receive timely voting instructions from you, except in limited circumstances, which could adversely affect your interests.</w:t>
      </w:r>
    </w:p>
    <w:p>
      <w:pPr>
        <w:spacing w:after="0" w:line="75"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at shareholders’ meetings or if the depositary or we do not receive timely voting instructions from you, the depositary may give us a proxy to a person designated by us to vote the underlying Class A ordinary shares represented by the ADSs at shareholders’ meetings in a manner consistent with the recommendation(s) made by our board of directors as set forth in the proxy statement or other voting materials in connection with the matter(s) submitted for voting if we have timely provided the depositary with notice of meeting and related voting materials and (1) we have instructed the depositary that we wish a proxy to our board of directors to be given, (2) we have informed the depositary that there is no substantial opposition as to a matter to be voted on at the meeting, and (3) a matter to be voted on at the meeting would not have an adverse impact on shareholders.</w:t>
      </w:r>
    </w:p>
    <w:p>
      <w:pPr>
        <w:spacing w:after="0" w:line="187" w:lineRule="exact"/>
        <w:rPr>
          <w:sz w:val="20"/>
          <w:szCs w:val="20"/>
          <w:color w:val="auto"/>
        </w:rPr>
      </w:pPr>
    </w:p>
    <w:p>
      <w:pPr>
        <w:jc w:val="both"/>
        <w:ind w:left="200" w:firstLine="434"/>
        <w:spacing w:after="0" w:line="261" w:lineRule="auto"/>
        <w:rPr>
          <w:sz w:val="20"/>
          <w:szCs w:val="20"/>
          <w:color w:val="auto"/>
        </w:rPr>
      </w:pPr>
      <w:r>
        <w:rPr>
          <w:rFonts w:ascii="Times New Roman" w:cs="Times New Roman" w:eastAsia="Times New Roman" w:hAnsi="Times New Roman"/>
          <w:sz w:val="18"/>
          <w:szCs w:val="18"/>
          <w:color w:val="auto"/>
        </w:rPr>
        <w:t>The effect of this proxy is that you cannot prevent the underlying Class A ordinary shares represented by the ADSs from being voted, except under the circumstances described above. This may make it more difficult for holders to influence the management of the company. Holders of ordinary shares are not subject to this proxy.</w:t>
      </w:r>
    </w:p>
    <w:p>
      <w:pPr>
        <w:spacing w:after="0" w:line="278" w:lineRule="exact"/>
        <w:rPr>
          <w:sz w:val="20"/>
          <w:szCs w:val="20"/>
          <w:color w:val="auto"/>
        </w:rPr>
      </w:pPr>
    </w:p>
    <w:p>
      <w:pPr>
        <w:ind w:left="200"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the ADSs or any value for them if such distribution is illegal or impractical or if any required government approval cannot be obtained in order to make such distribution available to you.</w:t>
      </w:r>
    </w:p>
    <w:p>
      <w:pPr>
        <w:spacing w:after="0" w:line="53"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Although we do not have any present plan to pay any dividends, the depositary of ADSs has agreed to pay to you the cash dividends or other distributions it or the custodian receives on ordinary shares or other deposited securities underlying the ADSs, after deducting its fees and expenses and any applicable taxes and governmental charges. You will receive these distributions in proportion to the number of ordinary shares your ADSs represent. However, the depositary is not responsible if it decides that it is unlawful or impractical to make a distribution available to any holders of ADSs. For instance, it would be unlawful to make a distribution to a holder of ADSs if it consists of securities whose offering would require registration under the Securities Act but are not so properly registered or distributed under an applicable exemption from registration. The depositary may also determine that it is not reasonably practicable to distribute certain property. In these cases, the depositary may determine not to distribute such property. We have no obligation to register under the U.S. securities laws any offering of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293"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and the depositary are entitled to amend the deposit agreement and to change the rights of ADSs holders under the terms of such agreement, and we may terminate the deposit agreement, without the prior consent of the ADSs holders.</w:t>
      </w:r>
    </w:p>
    <w:p>
      <w:pPr>
        <w:spacing w:after="0" w:line="53"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We and the depositary may amend or terminate the deposit agreement without your consent. Such amendment or termination may be done in favor of our company. Holders of the ADSs, subject to the terms of the deposit agreement, shall be given at least 30 days’ notice of any amendment that imposes or increases any fees or charges (other than stock transfer or other taxes and other governmental charges, transfer or registration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40"/>
          </w:cols>
          <w:pgMar w:left="320" w:top="452" w:right="5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0" w:lineRule="auto"/>
        <w:rPr>
          <w:sz w:val="20"/>
          <w:szCs w:val="20"/>
          <w:color w:val="auto"/>
        </w:rPr>
      </w:pPr>
      <w:r>
        <w:rPr>
          <w:rFonts w:ascii="Times New Roman" w:cs="Times New Roman" w:eastAsia="Times New Roman" w:hAnsi="Times New Roman"/>
          <w:sz w:val="18"/>
          <w:szCs w:val="18"/>
          <w:color w:val="auto"/>
        </w:rPr>
        <w:t>fees, SWIFT, cable, telex or facsimile transmission costs, delivery costs or other such expenses), or otherwise prejudices any substantial existing right of ADR holders. If you continue to hold your ADSs after an amendment to the deposit agreement, you agree to be bound by the deposit agreement as amended. The depositary may, and shall at our written direction, terminate the deposit agreement and the ADRs by mailing notice of such termination to the registered holders of ADRs at least 30 days prior to the date fixed in such notice for such termination. After instructing its custodian to deliver all ordinary shares to us along with a general stock power that refers to the names set forth on the ADR register maintained by the depositary and providing us with a copy of the ADR register maintained by the depositary, the depositary and its agents will perform no further acts under the deposit agreement or the ADRs and shall cease to have any obligations under the deposit agreement and/or the ADRs. See “Description of American Depositary Shares” for more information.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16" w:lineRule="exact"/>
        <w:rPr>
          <w:sz w:val="20"/>
          <w:szCs w:val="20"/>
          <w:color w:val="auto"/>
        </w:rPr>
      </w:pPr>
    </w:p>
    <w:p>
      <w:pPr>
        <w:jc w:val="both"/>
        <w:ind w:left="200" w:right="120" w:firstLine="434"/>
        <w:spacing w:after="0" w:line="276"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7" w:lineRule="exact"/>
        <w:rPr>
          <w:sz w:val="20"/>
          <w:szCs w:val="20"/>
          <w:color w:val="auto"/>
        </w:rPr>
      </w:pPr>
    </w:p>
    <w:p>
      <w:pPr>
        <w:ind w:left="200"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3" w:lineRule="exact"/>
        <w:rPr>
          <w:sz w:val="20"/>
          <w:szCs w:val="20"/>
          <w:color w:val="auto"/>
        </w:rPr>
      </w:pPr>
    </w:p>
    <w:p>
      <w:pPr>
        <w:jc w:val="both"/>
        <w:ind w:left="200" w:firstLine="434"/>
        <w:spacing w:after="0" w:line="253" w:lineRule="auto"/>
        <w:rPr>
          <w:sz w:val="20"/>
          <w:szCs w:val="20"/>
          <w:color w:val="auto"/>
        </w:rPr>
      </w:pPr>
      <w:r>
        <w:rPr>
          <w:rFonts w:ascii="Times New Roman" w:cs="Times New Roman" w:eastAsia="Times New Roman" w:hAnsi="Times New Roman"/>
          <w:sz w:val="18"/>
          <w:szCs w:val="18"/>
          <w:color w:val="auto"/>
        </w:rPr>
        <w:t>The deposit agreement governing our ADSs provides that, to the extent permitted by law, holders of our ADSs waive the right to a jury trial of any claim they may have against us or the depositary arising out of or relating to the ADSs or the deposit agreement, including any claim under U.S. federal securities laws. 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85" w:lineRule="exact"/>
        <w:rPr>
          <w:sz w:val="20"/>
          <w:szCs w:val="20"/>
          <w:color w:val="auto"/>
        </w:rPr>
      </w:pPr>
    </w:p>
    <w:p>
      <w:pPr>
        <w:ind w:left="200" w:right="120" w:firstLine="434"/>
        <w:spacing w:after="0" w:line="252" w:lineRule="auto"/>
        <w:rPr>
          <w:sz w:val="20"/>
          <w:szCs w:val="20"/>
          <w:color w:val="auto"/>
        </w:rPr>
      </w:pPr>
      <w:r>
        <w:rPr>
          <w:rFonts w:ascii="Times New Roman" w:cs="Times New Roman" w:eastAsia="Times New Roman" w:hAnsi="Times New Roman"/>
          <w:sz w:val="18"/>
          <w:szCs w:val="18"/>
          <w:color w:val="auto"/>
        </w:rPr>
        <w:t>If we or the depositary oppose a jury trial demand based on the waiver, the court would determine whether the waiver was enforceable based on the facts and circumstances of that case in accordance with the applicable state and federal law. The deposit agreement governing our ADSs provides that, (1) the deposit agreement and the ADSs will be interpreted in accordance with the laws of the State of New York, and (2) as an owner of ADSs, you irrevocably agree that any legal action arising out of the deposit agreement and the ADSs involving us or the depositary may only be instituted in a state or federal court in the city of New York. To our knowledge, the enforceability of a contractual pre-dispute jury trial waiver in connection with claims arising under the federal</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2"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53" w:lineRule="auto"/>
        <w:rPr>
          <w:sz w:val="20"/>
          <w:szCs w:val="20"/>
          <w:color w:val="auto"/>
        </w:rPr>
      </w:pPr>
      <w:r>
        <w:rPr>
          <w:rFonts w:ascii="Times New Roman" w:cs="Times New Roman" w:eastAsia="Times New Roman" w:hAnsi="Times New Roman"/>
          <w:sz w:val="18"/>
          <w:szCs w:val="18"/>
          <w:color w:val="auto"/>
        </w:rPr>
        <w:t>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In determining whether to enforce a contractual pre-dispute jury trial waiver provision, courts will generally consider whether a party knowingly, intelligently and voluntarily has waived the right to a jury trial. We believe that this is the case with respect to the deposit agreement and the ADSs. It is advisable that you consult legal counsel regarding the jury waiver provision before investing in the ADSs.</w:t>
      </w:r>
    </w:p>
    <w:p>
      <w:pPr>
        <w:spacing w:after="0" w:line="185"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If you or any other holders or beneficial owners of ADSs, including purchasers of ADSs in secondary market transactions,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increasing the cost of bringing a claim and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7"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81"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Moreover, as the enforcement provisions in the deposit agreement, including the jury trial waiver, relate to claims arising out of or relating to the ADSs or the deposit agreement, we believe that, as a matter of construction of the clause, the enforcement provisions would likely continue to apply to ADS holders who withdraw the Class A ordinary shares from the ADS facility with respect to claims arising before the cancelation of the ADSs and the withdrawal of the Class A ordinary shares, and the enforcement provisions would most likely not apply to ADS holders who subsequently withdraw the Class A ordinary shares represented by ADSs from the ADS facility with respect to claims arising after the withdrawal. However, to our knowledge, there has been no case law on the applicability of the jury trial waiver to ADS holders who withdraw the Class A ordinary shares represented by the ADSs from the ADS facility.</w:t>
      </w:r>
    </w:p>
    <w:p>
      <w:pPr>
        <w:spacing w:after="0" w:line="289" w:lineRule="exact"/>
        <w:rPr>
          <w:sz w:val="20"/>
          <w:szCs w:val="20"/>
          <w:color w:val="auto"/>
        </w:rPr>
      </w:pPr>
    </w:p>
    <w:p>
      <w:pPr>
        <w:ind w:left="20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Your rights to select a judicial venue for legal actions are limited by the terms of the deposit agreement and the deposit agreement may be amended or terminated without your consent.</w:t>
      </w:r>
    </w:p>
    <w:p>
      <w:pPr>
        <w:spacing w:after="0" w:line="53"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Southern District of New York lacks subject matter jurisdiction over a particular dispute, in the state courts of New York County, New York), and a holder of the ADSs, will have irrevocably waived any objection which such holder may have to the laying of venue of any such proceeding, and irrevocably submitted to the exclusive jurisdiction of such courts in any such action or proceeding.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40"/>
          </w:cols>
          <w:pgMar w:left="320" w:top="452" w:right="5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which could result in adverse U.S. federal income tax consequences to U.S. investors owning the ADSs or our Class A ordinary shares.</w:t>
      </w:r>
    </w:p>
    <w:p>
      <w:pPr>
        <w:spacing w:after="0" w:line="53"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color w:val="auto"/>
        </w:rPr>
        <w:t>A non-U.S. corporation, such as our company, will be classified as a passive foreign investment company (“PFIC”), for U.S. federal income tax purposes, for any taxable year if either (1) at least 75% of its gross income for such year consists of certain types of “passive” income; or (2) at least 50% of the value of its assets (generally determined on the basis of a quarterly average) during such year is attributable to assets that produce passive income or are held for the production of passive income. For purposes of making a PFIC determination, the non-U.S. corporation will be treated as owning its proportionate share of the assets and earning its proportionate share of the gross income of any other corporation in which it owns, directly or indirectly, more than 25% (by value) of the stock. Although the law in this regard is not entirely clear, we treat the affiliated entities as being owned by us for U.S. federal income tax purposes because we control their management decisions and are entitled to substantially all of the economic benefits associated with them. As a result, we consolidate their financial results in our consolidated U.S. GAAP financial statements. If it were determined, however, that we are not the owner of the affiliated entities for U.S. federal income tax purposes, we may be or become a PFIC for the current taxable year and any subsequent taxable year. Assuming that we are the owner of the affiliated entities for U.S. federal income tax purposes, and based on the current and anticipated value of our assets and composition of our income and assets (taking into account the expected cash proceeds from, and our anticipated market capitalization following, this offering), we do not expect to be a PFIC for the current taxable year or the foreseeable future.</w:t>
      </w:r>
    </w:p>
    <w:p>
      <w:pPr>
        <w:spacing w:after="0" w:line="175"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No assurance can be given in this regard because the determination of whether we are or will become a PFIC for any taxable year is a fact-intensive inquiry made annually that depends, in part, upon the composition of our income and assets. Additionally, fluctuations in the market price of the ADSs may cause us to be or become a PFIC for the current or subsequent taxable years because the value of our assets for the purpose of the asset test, including the value of our goodwill and other intangibles, may generally be determined by reference to the market price of the ADSs from time to time (which may be volatile). The composition of our income and assets may also be affected by how, and how quickly, we use our liquid assets and the cash raised in this offering.</w:t>
      </w:r>
    </w:p>
    <w:p>
      <w:pPr>
        <w:spacing w:after="0" w:line="185" w:lineRule="exact"/>
        <w:rPr>
          <w:sz w:val="20"/>
          <w:szCs w:val="20"/>
          <w:color w:val="auto"/>
        </w:rPr>
      </w:pPr>
    </w:p>
    <w:p>
      <w:pPr>
        <w:ind w:left="200" w:right="340" w:firstLine="434"/>
        <w:spacing w:after="0" w:line="261" w:lineRule="auto"/>
        <w:rPr>
          <w:sz w:val="20"/>
          <w:szCs w:val="20"/>
          <w:color w:val="auto"/>
        </w:rPr>
      </w:pPr>
      <w:r>
        <w:rPr>
          <w:rFonts w:ascii="Times New Roman" w:cs="Times New Roman" w:eastAsia="Times New Roman" w:hAnsi="Times New Roman"/>
          <w:sz w:val="18"/>
          <w:szCs w:val="18"/>
          <w:color w:val="auto"/>
        </w:rPr>
        <w:t>If we were to be or become a PFIC for any taxable year during which a U.S. Holder (as defined in “Taxation — United States Federal Income Taxation”) holds the ADSs or Class A ordinary shares, certain adverse U.S. federal income tax consequences could apply to such U.S. Holder. See “Taxation — United States Federal Income Taxation — Passive foreign investment company considerations.”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320" w:top="452" w:right="5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0"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5"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results of operations, financial condition, business strategy and financial needs. These forward-looking statements include statements relating to:</w:t>
      </w:r>
    </w:p>
    <w:p>
      <w:pPr>
        <w:spacing w:after="0" w:line="87" w:lineRule="exact"/>
        <w:rPr>
          <w:sz w:val="20"/>
          <w:szCs w:val="20"/>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China’s online learning industry;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solutions;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18" w:lineRule="exact"/>
        <w:rPr>
          <w:sz w:val="20"/>
          <w:szCs w:val="20"/>
          <w:color w:val="auto"/>
        </w:rPr>
      </w:pPr>
    </w:p>
    <w:p>
      <w:pPr>
        <w:ind w:left="200" w:right="100" w:firstLine="434"/>
        <w:spacing w:after="0" w:line="251"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87" w:lineRule="exact"/>
        <w:rPr>
          <w:sz w:val="20"/>
          <w:szCs w:val="20"/>
          <w:color w:val="auto"/>
        </w:rPr>
      </w:pPr>
    </w:p>
    <w:p>
      <w:pPr>
        <w:ind w:left="200" w:firstLine="434"/>
        <w:spacing w:after="0" w:line="270" w:lineRule="auto"/>
        <w:rPr>
          <w:sz w:val="20"/>
          <w:szCs w:val="20"/>
          <w:color w:val="auto"/>
        </w:rPr>
      </w:pPr>
      <w:r>
        <w:rPr>
          <w:rFonts w:ascii="Times New Roman" w:cs="Times New Roman" w:eastAsia="Times New Roman" w:hAnsi="Times New Roman"/>
          <w:sz w:val="17"/>
          <w:szCs w:val="17"/>
          <w:color w:val="auto"/>
        </w:rPr>
        <w:t>This prospectus contains certain data and information that we obtained from various government and private publications. Statistical data in these publications also include projections based on a number of assumptions. The online learning industry may not grow at the rate projected by market data, or at all. Failure of this market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70" w:lineRule="exact"/>
        <w:rPr>
          <w:sz w:val="20"/>
          <w:szCs w:val="20"/>
          <w:color w:val="auto"/>
        </w:rPr>
      </w:pPr>
    </w:p>
    <w:p>
      <w:pPr>
        <w:ind w:left="200" w:right="20" w:firstLine="434"/>
        <w:spacing w:after="0" w:line="272"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320" w:top="452" w:right="5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0" w:lineRule="exact"/>
        <w:rPr>
          <w:sz w:val="20"/>
          <w:szCs w:val="20"/>
          <w:color w:val="auto"/>
        </w:rPr>
      </w:pPr>
    </w:p>
    <w:p>
      <w:pPr>
        <w:ind w:left="200" w:right="160" w:firstLine="434"/>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US$35.1 million, or approximately US$40.7 million if the underwriters exercise their option to purchase additional ADSs in full, after deducting underwriting discounts and commissions and estimated offering expenses payable by us.</w:t>
      </w:r>
    </w:p>
    <w:p>
      <w:pPr>
        <w:spacing w:after="0" w:line="176"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financial flexibility, create a public market for our Class A ordinary shares represented by the ADSs for the benefit of all shareholders, retain talented employees by providing them with equity incentives, obtain additional capital, and enhance our market visibility and brand exposure. We, together with the VIE, plan to use the net proceeds of this offering as follows:</w:t>
      </w:r>
    </w:p>
    <w:p>
      <w:pPr>
        <w:spacing w:after="0" w:line="83" w:lineRule="exact"/>
        <w:rPr>
          <w:sz w:val="20"/>
          <w:szCs w:val="20"/>
          <w:color w:val="auto"/>
        </w:rPr>
      </w:pPr>
    </w:p>
    <w:p>
      <w:pPr>
        <w:ind w:left="1160" w:hanging="429"/>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or US$10.5 million, for improving the learning experience of our learners and our content development capability;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or US$7.0 million, for broadening our service offerings and expanding our services oversea;</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or US$7.0 million, for improving our technology infrastructures;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or US$7.0 million, for marketing and brand promotion;</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or US$3.5 million, for general corporate purposes and working capital.</w:t>
      </w:r>
    </w:p>
    <w:p>
      <w:pPr>
        <w:spacing w:after="0" w:line="218"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discretion and flexibility to apply the net proceeds of this offering. If an unforeseen event occurs or business conditions change, we may use the proceeds of this offering differently than as described in this prospectus. See “Risk Factors — Risks Related to the ADSs and this Offering — We have not determined a specific use for a portion of the net proceeds from this offering, and we may use these proceeds in ways with which you may not agree.”</w:t>
      </w:r>
    </w:p>
    <w:p>
      <w:pPr>
        <w:spacing w:after="0" w:line="185" w:lineRule="exact"/>
        <w:rPr>
          <w:sz w:val="20"/>
          <w:szCs w:val="20"/>
          <w:color w:val="auto"/>
        </w:rPr>
      </w:pPr>
    </w:p>
    <w:p>
      <w:pPr>
        <w:ind w:left="200" w:right="560" w:firstLine="434"/>
        <w:spacing w:after="0" w:line="275" w:lineRule="auto"/>
        <w:rPr>
          <w:sz w:val="20"/>
          <w:szCs w:val="20"/>
          <w:color w:val="auto"/>
        </w:rPr>
      </w:pPr>
      <w:r>
        <w:rPr>
          <w:rFonts w:ascii="Times New Roman" w:cs="Times New Roman" w:eastAsia="Times New Roman" w:hAnsi="Times New Roman"/>
          <w:sz w:val="18"/>
          <w:szCs w:val="18"/>
          <w:color w:val="auto"/>
        </w:rPr>
        <w:t>To the extent that the net proceeds we receive from this offering are not immediately applied for the above purposes, we may invest the net proceeds in short-term, interest-bearing debt instruments or bank deposits.</w:t>
      </w:r>
    </w:p>
    <w:p>
      <w:pPr>
        <w:spacing w:after="0" w:line="164" w:lineRule="exact"/>
        <w:rPr>
          <w:sz w:val="20"/>
          <w:szCs w:val="20"/>
          <w:color w:val="auto"/>
        </w:rPr>
      </w:pPr>
    </w:p>
    <w:p>
      <w:pPr>
        <w:ind w:left="200" w:right="40" w:firstLine="434"/>
        <w:spacing w:after="0" w:line="265" w:lineRule="auto"/>
        <w:rPr>
          <w:sz w:val="20"/>
          <w:szCs w:val="20"/>
          <w:color w:val="auto"/>
        </w:rPr>
      </w:pPr>
      <w:r>
        <w:rPr>
          <w:rFonts w:ascii="Times New Roman" w:cs="Times New Roman" w:eastAsia="Times New Roman" w:hAnsi="Times New Roman"/>
          <w:sz w:val="17"/>
          <w:szCs w:val="17"/>
          <w:color w:val="auto"/>
        </w:rPr>
        <w:t>In using the proceeds of this offering, we are permitted under PRC laws and regulations as an offshore holding company to provide funding to our WFOE only through capital contributions or loans and to the VIE only through loans, subject to satisfaction of applicable government registration and approval requirements as well as the laws and regulations on the conversion from U.S. dollars into Renminbi. We expect a significant portion of the proceeds from this offering will be used in China in Renminbi. We will also need to convert any capital contributions to our WFOE or loans to our WFOE and the VIE from U.S. dollars to Renminbi. We cannot assure you that we will be able to obtain these government registrations or approvals in a timely manner, if at all. Any failure will delay or prevent us from applying the net proceeds from this offering to our WFOE and VIE. See “Risk Factors</w:t>
      </w:r>
    </w:p>
    <w:p>
      <w:pPr>
        <w:spacing w:after="0" w:line="1" w:lineRule="exact"/>
        <w:rPr>
          <w:sz w:val="20"/>
          <w:szCs w:val="20"/>
          <w:color w:val="auto"/>
        </w:rPr>
      </w:pPr>
    </w:p>
    <w:p>
      <w:pPr>
        <w:ind w:left="200" w:right="260"/>
        <w:spacing w:after="0" w:line="271" w:lineRule="auto"/>
        <w:rPr>
          <w:sz w:val="20"/>
          <w:szCs w:val="20"/>
          <w:color w:val="auto"/>
        </w:rPr>
      </w:pPr>
      <w:r>
        <w:rPr>
          <w:rFonts w:ascii="Times New Roman" w:cs="Times New Roman" w:eastAsia="Times New Roman" w:hAnsi="Times New Roman"/>
          <w:sz w:val="17"/>
          <w:szCs w:val="17"/>
          <w:color w:val="auto"/>
        </w:rPr>
        <w:t>—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WFOE, which could materially and adversely affect our liquidity and our ability to fund and expand our business.”</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40"/>
          </w:cols>
          <w:pgMar w:left="320" w:top="452"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0"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profits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 See “Description of Share Capital — Our Post-offering Memorandum and Articles of Association — Dividends.”</w:t>
      </w:r>
    </w:p>
    <w:p>
      <w:pPr>
        <w:spacing w:after="0" w:line="187" w:lineRule="exact"/>
        <w:rPr>
          <w:sz w:val="20"/>
          <w:szCs w:val="20"/>
          <w:color w:val="auto"/>
        </w:rPr>
      </w:pPr>
    </w:p>
    <w:p>
      <w:pPr>
        <w:ind w:left="200" w:right="20" w:firstLine="434"/>
        <w:spacing w:after="0" w:line="305" w:lineRule="auto"/>
        <w:rPr>
          <w:sz w:val="20"/>
          <w:szCs w:val="20"/>
          <w:color w:val="auto"/>
        </w:rPr>
      </w:pPr>
      <w:r>
        <w:rPr>
          <w:rFonts w:ascii="Times New Roman" w:cs="Times New Roman" w:eastAsia="Times New Roman" w:hAnsi="Times New Roman"/>
          <w:sz w:val="17"/>
          <w:szCs w:val="17"/>
          <w:color w:val="auto"/>
        </w:rPr>
        <w:t>We have not declared or paid any dividends. 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41" w:lineRule="exact"/>
        <w:rPr>
          <w:sz w:val="20"/>
          <w:szCs w:val="20"/>
          <w:color w:val="auto"/>
        </w:rPr>
      </w:pPr>
    </w:p>
    <w:p>
      <w:pPr>
        <w:ind w:left="200" w:right="240" w:firstLine="434"/>
        <w:spacing w:after="0" w:line="253" w:lineRule="auto"/>
        <w:rPr>
          <w:sz w:val="20"/>
          <w:szCs w:val="20"/>
          <w:color w:val="auto"/>
        </w:rPr>
      </w:pPr>
      <w:r>
        <w:rPr>
          <w:rFonts w:ascii="Times New Roman" w:cs="Times New Roman" w:eastAsia="Times New Roman" w:hAnsi="Times New Roman"/>
          <w:sz w:val="18"/>
          <w:szCs w:val="18"/>
          <w:color w:val="auto"/>
        </w:rPr>
        <w:t>QuantaSing Group Limited is a holding company incorporated in the Cayman Islands. For our cash requirements, including any payment of dividends to our shareholders, we rely upon payments from our WFOE. PRC regulations may restrict the ability of our WFOE to pay dividends to us. See “Risk Factors — Risks Related to Doing Business in China — We rely on dividends and other distributions on equity paid by our WFOE to fund any cash and financing requirements we may have, and any limitation on the ability of our WFOE to make payments to us could have a material and adverse effect on our ability to conduct our business.”</w:t>
      </w:r>
    </w:p>
    <w:p>
      <w:pPr>
        <w:spacing w:after="0" w:line="185" w:lineRule="exact"/>
        <w:rPr>
          <w:sz w:val="20"/>
          <w:szCs w:val="20"/>
          <w:color w:val="auto"/>
        </w:rPr>
      </w:pPr>
    </w:p>
    <w:p>
      <w:pPr>
        <w:ind w:left="200" w:right="220" w:firstLine="434"/>
        <w:spacing w:after="0" w:line="253"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Class A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40"/>
          </w:cols>
          <w:pgMar w:left="320" w:top="452"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total capitalization, as of September 30, 2022.</w:t>
      </w:r>
    </w:p>
    <w:p>
      <w:pPr>
        <w:spacing w:after="0" w:line="125" w:lineRule="exact"/>
        <w:rPr>
          <w:sz w:val="20"/>
          <w:szCs w:val="20"/>
          <w:color w:val="auto"/>
        </w:rPr>
      </w:pPr>
    </w:p>
    <w:p>
      <w:pPr>
        <w:ind w:left="1160" w:hanging="429"/>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5" w:lineRule="exact"/>
        <w:rPr>
          <w:rFonts w:ascii="Times New Roman" w:cs="Times New Roman" w:eastAsia="Times New Roman" w:hAnsi="Times New Roman"/>
          <w:sz w:val="18"/>
          <w:szCs w:val="18"/>
          <w:color w:val="auto"/>
        </w:rPr>
      </w:pPr>
    </w:p>
    <w:p>
      <w:pPr>
        <w:ind w:left="1160" w:hanging="429"/>
        <w:spacing w:after="0" w:line="275" w:lineRule="auto"/>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reflect the conversion of all of our remaining outstanding 100,843,631 preferred shares into Class A ordinary shares on a one-for-one basis immediately prior to the completion of this offering; and</w:t>
      </w:r>
    </w:p>
    <w:p>
      <w:pPr>
        <w:spacing w:after="0" w:line="70" w:lineRule="exact"/>
        <w:rPr>
          <w:rFonts w:ascii="Times New Roman" w:cs="Times New Roman" w:eastAsia="Times New Roman" w:hAnsi="Times New Roman"/>
          <w:sz w:val="18"/>
          <w:szCs w:val="18"/>
          <w:color w:val="auto"/>
        </w:rPr>
      </w:pPr>
    </w:p>
    <w:p>
      <w:pPr>
        <w:ind w:left="1160" w:right="80" w:hanging="429"/>
        <w:spacing w:after="0" w:line="253" w:lineRule="auto"/>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reflect (1) the conversion of all of our remaining outstanding 100,843,631 preferred shares into Class A ordinary shares on a one-for-one basis immediately prior to the completion of this offering; and (2) the sale and issuance by us of 9,750,000 Class A ordinary shares in the form of ADSs in this offering, based upon the initial public offering price of US$12.50 per ADS, after deducting estimated underwriting discounts and commissions and estimated offering expenses payable by us, and assuming no exercise by the underwriters of their option to purchase additional ADSs.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40"/>
          </w:cols>
          <w:pgMar w:left="320" w:top="452"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0" w:firstLine="434"/>
        <w:spacing w:after="0" w:line="256" w:lineRule="auto"/>
        <w:rPr>
          <w:sz w:val="20"/>
          <w:szCs w:val="20"/>
          <w:color w:val="auto"/>
        </w:rPr>
      </w:pPr>
      <w:r>
        <w:rPr>
          <w:rFonts w:ascii="Times New Roman" w:cs="Times New Roman" w:eastAsia="Times New Roman" w:hAnsi="Times New Roman"/>
          <w:sz w:val="18"/>
          <w:szCs w:val="18"/>
          <w:color w:val="auto"/>
        </w:rPr>
        <w:t>The pro forma as adjusted information set forth in the following table is illustrative only and will be adjusted based on the actual initial public offering price and other terms of this offering determined at pricing. You should read this table together with our consolidated financial statements and related notes, and the “Selected Consolidated Financial and Other Data” and “Management’s Discussion and Analysis of Financial Condition and Results of Operations” sections that are included elsewhere in this prospectus.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gridSpan w:val="3"/>
          </w:tcPr>
          <w:p>
            <w:pPr>
              <w:ind w:left="640"/>
              <w:spacing w:after="0" w:line="140" w:lineRule="exact"/>
              <w:rPr>
                <w:sz w:val="20"/>
                <w:szCs w:val="20"/>
                <w:color w:val="auto"/>
              </w:rPr>
            </w:pPr>
            <w:r>
              <w:rPr>
                <w:rFonts w:ascii="Times New Roman" w:cs="Times New Roman" w:eastAsia="Times New Roman" w:hAnsi="Times New Roman"/>
                <w:sz w:val="14"/>
                <w:szCs w:val="14"/>
                <w:b w:val="1"/>
                <w:bCs w:val="1"/>
                <w:color w:val="auto"/>
                <w:w w:val="95"/>
              </w:rPr>
              <w:t>Actual</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4"/>
          </w:tcPr>
          <w:p>
            <w:pPr>
              <w:jc w:val="right"/>
              <w:ind w:right="780"/>
              <w:spacing w:after="0" w:line="140"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860" w:type="dxa"/>
            <w:vAlign w:val="bottom"/>
            <w:gridSpan w:val="3"/>
          </w:tcPr>
          <w:p>
            <w:pPr>
              <w:jc w:val="right"/>
              <w:ind w:right="173"/>
              <w:spacing w:after="0" w:line="140" w:lineRule="exact"/>
              <w:rPr>
                <w:sz w:val="20"/>
                <w:szCs w:val="20"/>
                <w:color w:val="auto"/>
              </w:rPr>
            </w:pPr>
            <w:r>
              <w:rPr>
                <w:rFonts w:ascii="Times New Roman" w:cs="Times New Roman" w:eastAsia="Times New Roman" w:hAnsi="Times New Roman"/>
                <w:sz w:val="14"/>
                <w:szCs w:val="14"/>
                <w:b w:val="1"/>
                <w:bCs w:val="1"/>
                <w:color w:val="auto"/>
              </w:rPr>
              <w:t>Pro forma as adjusted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Borders>
              <w:top w:val="single" w:sz="8" w:color="auto"/>
              <w:bottom w:val="single" w:sz="8" w:color="auto"/>
            </w:tcBorders>
            <w:gridSpan w:val="3"/>
          </w:tcPr>
          <w:p>
            <w:pPr>
              <w:ind w:left="2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Borders>
              <w:top w:val="single" w:sz="8" w:color="auto"/>
              <w:bottom w:val="single" w:sz="8" w:color="auto"/>
            </w:tcBorders>
          </w:tcPr>
          <w:p>
            <w:pPr>
              <w:jc w:val="right"/>
              <w:ind w:right="174"/>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4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top w:val="single" w:sz="8" w:color="auto"/>
              <w:bottom w:val="single" w:sz="8" w:color="auto"/>
            </w:tcBorders>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top w:val="single" w:sz="8" w:color="auto"/>
              <w:bottom w:val="single" w:sz="8" w:color="auto"/>
            </w:tcBorders>
          </w:tcPr>
          <w:p>
            <w:pPr>
              <w:jc w:val="right"/>
              <w:ind w:right="17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20" w:type="dxa"/>
            <w:vAlign w:val="bottom"/>
            <w:gridSpan w:val="8"/>
          </w:tcPr>
          <w:p>
            <w:pPr>
              <w:jc w:val="right"/>
              <w:ind w:right="580"/>
              <w:spacing w:after="0" w:line="140"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A convertible redeemable preferred shares (US$0.0001 par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22,000,000 shares authorized, issued and outstanding,</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 convertible redeemable preferred shares (US$0.0001 par</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23,983,789 shares authorized, issued and outstanding,</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B-1 convertible redeemable preferred shares (US$0.0001 par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7,913,872 shares authorized, issued and outstanding,</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C convertible redeemable preferred shares (US$0.0001 par</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20,327,789 shares authorized, issued and outstanding,</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D convertible redeemable preferred shares (US$0.0001 par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11,818,754 shares authorized, issued and outstanding,</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E convertible redeemable preferred shares (US$0.0001 par</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14,799,427 shares authorized, issued and outstanding,</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no shares issued and outstanding, pro forma and pro forma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adjusted)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673,629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94,697</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Class A ordinary shares (US$0.0001 par value; 345,113,731 shares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4,783,589 shares issued and outstanding, actual;</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105,627,220 shares issued and outstanding, pro forma;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115,377,220 shares issued and outstanding, pro forma as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B ordinary shares (US$0.0001 par value; 54,042,638 shares</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49,859,049 issued and outstanding, actual, pro forma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780,387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1,030,013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557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557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Accumulative deficit</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(958,429)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(134,733)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(958,429)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(134,733)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(958,429)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(847,597)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(119,153)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(173,968)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(24,456)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(173,968</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(24,456)</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(173,968)</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(24,456)</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0"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76" w:lineRule="exact"/>
        <w:rPr>
          <w:sz w:val="20"/>
          <w:szCs w:val="20"/>
          <w:color w:val="auto"/>
        </w:rPr>
      </w:pPr>
    </w:p>
    <w:p>
      <w:pPr>
        <w:jc w:val="both"/>
        <w:ind w:left="200" w:right="240" w:firstLine="434"/>
        <w:spacing w:after="0" w:line="283" w:lineRule="auto"/>
        <w:rPr>
          <w:sz w:val="20"/>
          <w:szCs w:val="20"/>
          <w:color w:val="auto"/>
        </w:rPr>
      </w:pPr>
      <w:r>
        <w:rPr>
          <w:rFonts w:ascii="Times New Roman" w:cs="Times New Roman" w:eastAsia="Times New Roman" w:hAnsi="Times New Roman"/>
          <w:sz w:val="17"/>
          <w:szCs w:val="17"/>
          <w:color w:val="auto"/>
        </w:rPr>
        <w:t>Our net tangible book value as of September 30, 2022 was a deficit of US$119.2 million, representing negative US$2.18 per ordinary share and negative US$6.54 per ADS as of that date, or negative US$0.16 per ordinary share and negative US$0.48 per ADS on a pro forma basis. Net tangible book value represents the amount of our total consolidated tangible assets, less the amount of our total consolidated liabilities and mezzanine equity.</w:t>
      </w:r>
    </w:p>
    <w:p>
      <w:pPr>
        <w:spacing w:after="0" w:line="159"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Dilution is determined by subtracting net tangible book value per ordinary share on an as-converted basis, after giving effect to the additional proceeds we will receive from this offering, from the initial public offering price of US$12.50 per ordinary share, after deducting underwriting discounts and commissions and estimated offering expenses payable by us.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85"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September 30, 2022, other than to give effect to (1) the conversion of all of our remaining outstanding 100,843,631 preferred shares into Class A ordinary shares on a one-for-one basis immediately prior to the completion of this offering, and (2) our sale of the ADSs offered in this offering at the initial public offering price of US$12.50 per ADS, after deduction of the underwriting discounts and commissions and estimated offering expenses payable by us, our pro forma as adjusted net tangible book value as of September 30, 2022 would have been US$10.6 million, or US$0.06 per ordinary share and US$0.18 per ADS. This represents an immediate increase in net tangible book value of US$0.22 per ordinary share and US$0.66 per ADS to the existing shareholders and an immediate dilution in net tangible book value of US$4.11 per ordinary share and US$12.32 per ADS to investors purchasing ADSs in this offering.</w:t>
      </w:r>
    </w:p>
    <w:p>
      <w:pPr>
        <w:spacing w:after="0" w:line="187" w:lineRule="exact"/>
        <w:rPr>
          <w:sz w:val="20"/>
          <w:szCs w:val="20"/>
          <w:color w:val="auto"/>
        </w:rPr>
      </w:pPr>
    </w:p>
    <w:p>
      <w:pPr>
        <w:ind w:left="200" w:right="260" w:firstLine="434"/>
        <w:spacing w:after="0" w:line="275" w:lineRule="auto"/>
        <w:rPr>
          <w:sz w:val="20"/>
          <w:szCs w:val="20"/>
          <w:color w:val="auto"/>
        </w:rPr>
      </w:pPr>
      <w:r>
        <w:rPr>
          <w:rFonts w:ascii="Times New Roman" w:cs="Times New Roman" w:eastAsia="Times New Roman" w:hAnsi="Times New Roman"/>
          <w:sz w:val="18"/>
          <w:szCs w:val="18"/>
          <w:color w:val="auto"/>
        </w:rPr>
        <w:t>The following table illustrates this dilution to new investors purchasing the ADSs in this offering at an initial public offering price of US$12.50 per ADS.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Per Ordinary Share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 ADS</w:t>
            </w:r>
          </w:p>
        </w:tc>
      </w:tr>
      <w:tr>
        <w:trPr>
          <w:trHeight w:val="20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7"/>
              </w:rPr>
              <w:t>US$4.17</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US$12.50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September 30, 2022</w:t>
            </w:r>
          </w:p>
        </w:tc>
        <w:tc>
          <w:tcPr>
            <w:tcW w:w="24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US$(2.18)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US$(6.54)</w:t>
            </w:r>
          </w:p>
        </w:tc>
      </w:tr>
      <w:tr>
        <w:trPr>
          <w:trHeight w:val="194"/>
        </w:trPr>
        <w:tc>
          <w:tcPr>
            <w:tcW w:w="8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net tangible book value after giving effect to the conversion of our preferred shares and</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pre-offering Class A ordinary shares</w:t>
            </w:r>
          </w:p>
        </w:tc>
        <w:tc>
          <w:tcPr>
            <w:tcW w:w="2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US$(0.16)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US$(0.48)</w:t>
            </w:r>
          </w:p>
        </w:tc>
      </w:tr>
      <w:tr>
        <w:trPr>
          <w:trHeight w:val="194"/>
        </w:trPr>
        <w:tc>
          <w:tcPr>
            <w:tcW w:w="8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the conversion of our preferred shares and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pre-offering Class A ordinary shares and this offering</w:t>
            </w:r>
          </w:p>
        </w:tc>
        <w:tc>
          <w:tcPr>
            <w:tcW w:w="24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US$0.06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US$0.18</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dilution in pro forma net tangible book value per share to new investors in this offering</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US$4.11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12.32</w:t>
            </w:r>
          </w:p>
        </w:tc>
      </w:tr>
      <w:tr>
        <w:trPr>
          <w:trHeight w:val="20"/>
        </w:trPr>
        <w:tc>
          <w:tcPr>
            <w:tcW w:w="8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September 30, 2022, the differences between existing shareholders and the new investors with respect to the number of ordinary shares (in the form of ADSs or shares) purchased from us, the total consideration paid and the average price per ordinary share and per ADS paid at the initial public offering price of US$12.50 per ADS, before deducting the underwriting discounts and commissions and estimated offering expenses. The total number of ordinary shares does not include the underlying Class A ordinary shares represented by the ADSs issuable upon the exercise of the option to purchase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60"/>
          </w:cols>
          <w:pgMar w:left="320" w:top="452"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560"/>
        <w:spacing w:after="0" w:line="275" w:lineRule="auto"/>
        <w:rPr>
          <w:sz w:val="20"/>
          <w:szCs w:val="20"/>
          <w:color w:val="auto"/>
        </w:rPr>
      </w:pPr>
      <w:r>
        <w:rPr>
          <w:rFonts w:ascii="Times New Roman" w:cs="Times New Roman" w:eastAsia="Times New Roman" w:hAnsi="Times New Roman"/>
          <w:sz w:val="18"/>
          <w:szCs w:val="18"/>
          <w:color w:val="auto"/>
        </w:rPr>
        <w:t>additional ADSs granted to the underwriters. The total consideration paid by existing shareholders represents the consideration received by Witty network for issuance of shares.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50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080" w:type="dxa"/>
            <w:vAlign w:val="bottom"/>
            <w:tcBorders>
              <w:bottom w:val="single" w:sz="8" w:color="auto"/>
            </w:tcBorders>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vMerge w:val="restart"/>
          </w:tcPr>
          <w:p>
            <w:pPr>
              <w:jc w:val="right"/>
              <w:ind w:right="317"/>
              <w:spacing w:after="0" w:line="147"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500" w:type="dxa"/>
            <w:vAlign w:val="bottom"/>
          </w:tcPr>
          <w:p>
            <w:pPr>
              <w:spacing w:after="0"/>
              <w:rPr>
                <w:sz w:val="6"/>
                <w:szCs w:val="6"/>
                <w:color w:val="auto"/>
              </w:rPr>
            </w:pPr>
          </w:p>
        </w:tc>
        <w:tc>
          <w:tcPr>
            <w:tcW w:w="780" w:type="dxa"/>
            <w:vAlign w:val="bottom"/>
            <w:gridSpan w:val="3"/>
            <w:vMerge w:val="restart"/>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rPr>
                <w:sz w:val="4"/>
                <w:szCs w:val="4"/>
                <w:color w:val="auto"/>
              </w:rPr>
            </w:pPr>
          </w:p>
        </w:tc>
        <w:tc>
          <w:tcPr>
            <w:tcW w:w="5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vMerge w:val="restart"/>
          </w:tcPr>
          <w:p>
            <w:pPr>
              <w:spacing w:after="0"/>
              <w:rPr>
                <w:sz w:val="4"/>
                <w:szCs w:val="4"/>
                <w:color w:val="auto"/>
              </w:rPr>
            </w:pPr>
          </w:p>
        </w:tc>
        <w:tc>
          <w:tcPr>
            <w:tcW w:w="4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Ordinary Share</w:t>
            </w:r>
          </w:p>
        </w:tc>
        <w:tc>
          <w:tcPr>
            <w:tcW w:w="50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155,486,269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67,969,771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3"/>
              </w:rPr>
              <w:t>US$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9,750,000</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3"/>
              </w:rPr>
              <w:t>US</w:t>
            </w:r>
            <w:r>
              <w:rPr>
                <w:rFonts w:ascii="Times New Roman" w:cs="Times New Roman" w:eastAsia="Times New Roman" w:hAnsi="Times New Roman"/>
                <w:sz w:val="18"/>
                <w:szCs w:val="18"/>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40,625,000</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3"/>
              </w:rPr>
              <w:t>US$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165,236,269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u w:val="single" w:color="auto"/>
                <w:color w:val="auto"/>
                <w:w w:val="93"/>
              </w:rPr>
              <w:t>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108,594,771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right="20" w:firstLine="433"/>
        <w:spacing w:after="0" w:line="251" w:lineRule="auto"/>
        <w:tabs>
          <w:tab w:leader="none" w:pos="8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entities affiliated with DCM, one of our principal shareholders and an affiliate of one of our directors, and (2) Harvest International Premium Value (Secondary Market) Fund SPC for the account of Harvest Great Bay Investment SP, an investment fund managed by Harvest Global Capital Investments Limited, have subscribed for, and have been allocated by, the underwriters, an aggregate of 400,000 and 800,000 ADSs at the initial public offering price and on the same terms as the other ADSs being offered respectively. The pro forma information discussed above is illustrative only. The discussion and tables above assume no exercise of any outstanding share options outstanding as of the date of this prospectus. As of the date of this prospectus, there are 18,640,751 ordinary shares issuable upon exercise of outstanding share options granted at an average weighted exercise price of US$0.19 per share. To the extent that any of these options are exercised, there will be further dilution to new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2"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0" w:lineRule="exact"/>
        <w:rPr>
          <w:sz w:val="20"/>
          <w:szCs w:val="20"/>
          <w:color w:val="auto"/>
        </w:rPr>
      </w:pPr>
    </w:p>
    <w:p>
      <w:pPr>
        <w:ind w:left="200" w:right="300" w:firstLine="434"/>
        <w:spacing w:after="0" w:line="275"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71" w:lineRule="exact"/>
        <w:rPr>
          <w:sz w:val="20"/>
          <w:szCs w:val="20"/>
          <w:color w:val="auto"/>
        </w:rPr>
      </w:pPr>
    </w:p>
    <w:p>
      <w:pPr>
        <w:ind w:left="1160" w:hanging="429"/>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25" w:lineRule="exact"/>
        <w:rPr>
          <w:sz w:val="20"/>
          <w:szCs w:val="20"/>
          <w:color w:val="auto"/>
        </w:rPr>
      </w:pPr>
    </w:p>
    <w:p>
      <w:pPr>
        <w:ind w:left="1160" w:right="540" w:hanging="429"/>
        <w:spacing w:after="0" w:line="275"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18" w:lineRule="exact"/>
        <w:rPr>
          <w:sz w:val="20"/>
          <w:szCs w:val="20"/>
          <w:color w:val="auto"/>
        </w:rPr>
      </w:pPr>
    </w:p>
    <w:p>
      <w:pPr>
        <w:ind w:left="200" w:right="340" w:firstLine="434"/>
        <w:spacing w:after="0" w:line="275" w:lineRule="auto"/>
        <w:rPr>
          <w:sz w:val="20"/>
          <w:szCs w:val="20"/>
          <w:color w:val="auto"/>
        </w:rPr>
      </w:pPr>
      <w:r>
        <w:rPr>
          <w:rFonts w:ascii="Times New Roman" w:cs="Times New Roman" w:eastAsia="Times New Roman" w:hAnsi="Times New Roman"/>
          <w:sz w:val="18"/>
          <w:szCs w:val="18"/>
          <w:color w:val="auto"/>
        </w:rPr>
        <w:t>Our post-offering memorandum and articles of association do not contain provisions requiring that disputes, including those arising under the securities laws of the United States, between us, our officers, directors and shareholders, be arbitrated.</w:t>
      </w:r>
    </w:p>
    <w:p>
      <w:pPr>
        <w:spacing w:after="0" w:line="16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and our assets are located in China. All of our executive officers are located in China. All of our directors who are not our executive officers are located in China, except for one independent director.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5" w:lineRule="exact"/>
        <w:rPr>
          <w:sz w:val="20"/>
          <w:szCs w:val="20"/>
          <w:color w:val="auto"/>
        </w:rPr>
      </w:pPr>
    </w:p>
    <w:p>
      <w:pPr>
        <w:ind w:left="200" w:right="100" w:firstLine="434"/>
        <w:spacing w:after="0" w:line="275"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as our agent upon whom process may be served in any action brought against us under the securities laws of the United States.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14" w:lineRule="exact"/>
        <w:rPr>
          <w:sz w:val="20"/>
          <w:szCs w:val="20"/>
          <w:color w:val="auto"/>
        </w:rPr>
      </w:pPr>
    </w:p>
    <w:p>
      <w:pPr>
        <w:ind w:left="200" w:right="120" w:firstLine="434"/>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(Hong Kong) LLP, our counsel as to Cayman Islands law, that the courts of the Cayman Islands are unlikely to (1) 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85"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We have also been advised by Maples and Calder (Hong Kong) LLP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based on the principle that a judgment of a competent foreign court imposes upon the judgment debtor an obligation to pay the sum for which judgment has been given provided that such judgment</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320" w:top="452" w:right="5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60" w:hanging="1"/>
        <w:spacing w:after="0" w:line="256" w:lineRule="auto"/>
        <w:tabs>
          <w:tab w:leader="none" w:pos="4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 (2) imposes on the judgment debtor a liability to pay a liquidated sum for which the judgment has been given, (3) is final and conclusive, (4) is not in respect of taxes, a fine or a penalty, and (5)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spacing w:after="0" w:line="181" w:lineRule="exact"/>
        <w:rPr>
          <w:sz w:val="20"/>
          <w:szCs w:val="20"/>
          <w:color w:val="auto"/>
        </w:rPr>
      </w:pPr>
    </w:p>
    <w:p>
      <w:pPr>
        <w:jc w:val="both"/>
        <w:ind w:left="200" w:right="20" w:firstLine="434"/>
        <w:spacing w:after="0" w:line="283" w:lineRule="auto"/>
        <w:rPr>
          <w:sz w:val="20"/>
          <w:szCs w:val="20"/>
          <w:color w:val="auto"/>
        </w:rPr>
      </w:pPr>
      <w:r>
        <w:rPr>
          <w:rFonts w:ascii="Times New Roman" w:cs="Times New Roman" w:eastAsia="Times New Roman" w:hAnsi="Times New Roman"/>
          <w:sz w:val="17"/>
          <w:szCs w:val="17"/>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114"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CM Law Firm, our counsel as to PRC law, has advised us that there is uncertainty as to whether the courts of China would (1) recognize or enforce judgments of United States courts obtained against us or our directors or officers predicated upon the civil liability provisions of the securities laws of the United States or any state in the United States; or (2) entertain original actions brought in each respective jurisdiction against us or our directors or officers predicated upon the securities laws of the United States or any state in the United States.</w:t>
      </w:r>
    </w:p>
    <w:p>
      <w:pPr>
        <w:spacing w:after="0" w:line="181"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CM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93"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However, it will be difficult for U.S. shareholders to originate actions against us in China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320" w:top="452" w:right="6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0"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QuantaSing Group Limited is an exempted company with limited liability incorporated under the laws of the Cayman Islands with no substantive operation. We carry out our business in China through Beijing Liangzizhige (our “WFOE”), our wholly-owned subsidiary, and its contractual arrangements, commonly known as the VIE structure, with Beijing Feierlai (the “VIE”), a variable interest entity based in China, and its nominee shareholder.</w:t>
      </w:r>
    </w:p>
    <w:p>
      <w:pPr>
        <w:spacing w:after="0" w:line="181"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We began our online learning services in 2019 when we were within the group of Witty network, a Cayman Islands holding company held by our existing shareholders. In anticipation of this listing and offering and in order to focus on developing our current online learning and enterprise service business, our shareholders has restructured the corporate structure and spun-off our current business from Witty network and its affiliate, EW Technology, into the entities within our group.</w:t>
      </w:r>
    </w:p>
    <w:p>
      <w:pPr>
        <w:spacing w:after="0" w:line="181"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Prior to the spin-off, our business had been conducted through certain contractual arrangements established by Witty network’s wholly-owned subsidiary in China (the “Former WFOE”) with (1) Beijing Dianfengtongdao Technology Co., Ltd. (the “Former VIE”), a variable interest entity based in China, and its nominee shareholder, and (2) the VIE and its nominee shareholder. In May 2021, our WFOE entered into a series of agreements and established new contractual arrangements with the VIE and its nominee shareholder, and the previous contractual arrangements between the Former WFOE and the VIE were terminated. Certain of our online learning business for which we have consolidated the financial results as of and for the fiscal years ended June 30, 2021 and 2022 was then spun-off from Witty network to EW Technology.</w:t>
      </w:r>
    </w:p>
    <w:p>
      <w:pPr>
        <w:spacing w:after="0" w:line="185"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In February 2022, QuantaSing Group Limited was incorporated as a Cayman Islands holding company and listing entity for this offering. In February 2021, Witty Digital Technology Limited was incorporated in Hong Kong. In March 2021, Hundreds of Mountains Limited was incorporated in the British Virgin Islands. Witty Digital Technology Limited and Hundreds of Mountains Limited are our wholly-owned subsidiaries. In March 2021, our WFOE was established in China as a new wholly-owned subsidiary of Witty Digital Technology Limited for the purpose of above-described restructuring.</w:t>
      </w:r>
    </w:p>
    <w:p>
      <w:pPr>
        <w:spacing w:after="0" w:line="185"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In March 2022, we completed the sale of 100% of the equity interest in Beijing ChangYou Star Network Technology Co., Ltd., and its subsidiary, Beijing Baichuan Insurance Brokerage Limited (“Beijing Baichuan”), to Beijing Shanronghaina Network Technology Co., Ltd., an entity controlled by EW Technology. For details of the transaction and pro forma impact on our historical financial data, see “Management’s Discussion and Analysis of Financial Condition and Results of Operations — Unaudited Pro Forma Condensed Consolidated Statement of Operations.”</w:t>
      </w:r>
    </w:p>
    <w:p>
      <w:pPr>
        <w:spacing w:after="0" w:line="181"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In May 2022, EW Technology transferred all its equity interests in its BVI subsidiary which held our WFOE and consolidated the financial results of VIE and its subsidiaries to QuantaSing Group Limited, upon which QuantaSing Group Limited acquired all the equity interests in our WFOE, and became the primary beneficiary of the VIE consolidating the financial results of the VIE and its subsidiaries. The restructuring and spin-off was completed in May 2022.</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0"/>
          </w:cols>
          <w:pgMar w:left="320" w:top="452" w:right="5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subsidiaries and the affiliated entities,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167005</wp:posOffset>
            </wp:positionV>
            <wp:extent cx="5791835" cy="3790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91835" cy="379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421"/>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“Principal Shareholders” for details of our shareholding structures immediately prior to and after this offering.</w:t>
      </w:r>
    </w:p>
    <w:p>
      <w:pPr>
        <w:spacing w:after="0" w:line="24" w:lineRule="exact"/>
        <w:rPr>
          <w:rFonts w:ascii="Times New Roman" w:cs="Times New Roman" w:eastAsia="Times New Roman" w:hAnsi="Times New Roman"/>
          <w:sz w:val="18"/>
          <w:szCs w:val="18"/>
          <w:color w:val="auto"/>
        </w:rPr>
      </w:pPr>
    </w:p>
    <w:p>
      <w:pPr>
        <w:ind w:left="620" w:right="120" w:hanging="421"/>
        <w:spacing w:after="0" w:line="253"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Feierlai is wholly owned by Shenzhen Erwan Education Technology Co., Ltd., an entity owned as to 99.0% by Mr. Peng Li, our founder and chief executive officer, and 1.0% by Ms. Li Meng, mother of Mr. Li.</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11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QuantaSing Group Limited is a Cayman Islands holding company with no equity ownership in the VIE or its subsidiaries and not a Chinese operating company. We conduct operations in China through (1) our WFOE and (2) the VIE, with which we have maintained contractual arrangements, and its subsidiaries. PRC laws and regulations provide restrictions on foreign investment in certain value-added telecommunication services and other internet related businesses. Accordingly, we conduct our business in China through our WFOE and the affiliated entities based on a series of contractual arrangements by and among our WFOE, the VIE and its nominee shareholder, to comply with the applicable PRC laws and regulations. Revenues contributed by the affiliated entities accounted for substantially all of our total revenues in the fiscal years ended June 30, 2021 and 2022 and the three months ended September 30, 2022.</w:t>
      </w:r>
    </w:p>
    <w:p>
      <w:pPr>
        <w:spacing w:after="0" w:line="187"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Our contractual arrangements allow us to (1) be considered as the primary beneficiary of the VIE for accounting purposes and consolidate the financial results of the affiliated entities, (2) receive substantially all of the economic benefits of the affiliated entities, (3) have the pledge right over the equity interests in the VIE as the pledgee, and (4) have an exclusive option to purchase all or part of the equity interests in the VIE when and to the extent permitted by PRC law.</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0"/>
          </w:cols>
          <w:pgMar w:left="320" w:top="452" w:right="5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firstLine="434"/>
        <w:spacing w:after="0" w:line="261" w:lineRule="auto"/>
        <w:rPr>
          <w:sz w:val="20"/>
          <w:szCs w:val="20"/>
          <w:color w:val="auto"/>
        </w:rPr>
      </w:pPr>
      <w:r>
        <w:rPr>
          <w:rFonts w:ascii="Times New Roman" w:cs="Times New Roman" w:eastAsia="Times New Roman" w:hAnsi="Times New Roman"/>
          <w:sz w:val="18"/>
          <w:szCs w:val="18"/>
          <w:color w:val="auto"/>
        </w:rPr>
        <w:t>As a result of our direct ownership in our WFOE and the contractual arrangements with the VIE, we have become the primary beneficiary of the VIE, and, therefore, have consolidated the financial results of the affiliated entities in our consolidated financial statements in accordance with U.S. GAAP.</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our WFOE, the VIE and its shareholder.</w:t>
      </w:r>
    </w:p>
    <w:p>
      <w:pPr>
        <w:spacing w:after="0" w:line="2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Voting rights proxy agreement. </w:t>
      </w:r>
      <w:r>
        <w:rPr>
          <w:rFonts w:ascii="Times New Roman" w:cs="Times New Roman" w:eastAsia="Times New Roman" w:hAnsi="Times New Roman"/>
          <w:sz w:val="18"/>
          <w:szCs w:val="18"/>
          <w:color w:val="auto"/>
        </w:rPr>
        <w:t>Pursuant to the voting rights proxy agreement dated May 20, 2021 entered into by and among our WFOE, the 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shareholder, the shareholder of the VIE irrevocably appointed and authorized our WFOE or its designee(s) to act on its behalf as exclusive agent and attorney, to the extent permitted by PRC law, with respect to all matters concerning all equity interests held by such shareholder in the VIE, including but not limited to the power to (1) attend shareholders’ meetings, (2) exercise all shareholder’s rights and shareholder’s voting rights that it is entitled under relevant PRC laws and regulations and the articles of association of the VIE, including but not limited to the right to sell, transfer or pledge of all the equity interests held in part or in whole, and (3) designate and appoint on its behalf the legal representative, directors, supervisors, chief executive officer and other senior management members of the VIE. The voting rights proxy agreement is irrevocable and continuously effective from the execution date until the entire equity interests in the VIE have been transferred to our WFOE or its designee pursuant to the exclusive option agreement or unless otherwise agreed to with written consent by all parties.</w:t>
      </w:r>
    </w:p>
    <w:p>
      <w:pPr>
        <w:spacing w:after="0" w:line="187"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Equity pledge agreement. </w:t>
      </w:r>
      <w:r>
        <w:rPr>
          <w:rFonts w:ascii="Times New Roman" w:cs="Times New Roman" w:eastAsia="Times New Roman" w:hAnsi="Times New Roman"/>
          <w:sz w:val="17"/>
          <w:szCs w:val="17"/>
          <w:color w:val="auto"/>
        </w:rPr>
        <w:t>Under the equity pledge agreement dated May 20, 2021 entered into by and among our WFOE, the VIE and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 the shareholder of the VIE agrees to pledge all of its equity interests in the VIE to our WFOE as security for performance of the respective obligations of the VIE and its shareholder hereunder and under the exclusive option agreement, the voting rights proxy agreement and the exclusive consultancy and service agreement, and for payment of all the losses and losses of anticipated profits suffered by our WFOE as a result the VIE or its shareholder’s defaults. If any of the VIE or its shareholder breach its contractual obligations, our WFOE, as the pledgees, may, upon issuing written notice, exercise certain remedy measures, including but not limited to being paid in priority with all pledged equity interests based on monetary evaluation or from the proceeds from auction or sale. The shareholder of the VIE agrees that, without our WFOE’s prior written consent, the shareholder of the VIE shall not transfer the pledged equity interests or place or permit the existence of any security interests or other encumbrances over the pledged equity interest. Our WFOE may assign all or any of its rights and obligations under the share pledge agreement to its designee(s) at any time. The equity pledge agreement pledge will become effective on the date thereof and will remain in effect until the fulfillment of all the obligations hereunder and under the exclusive option agreement, the voting rights proxy agreement and the exclusive consultancy and service agreement and the full payment of all the losses and losses of anticipated profits suffered by our WFOE as a result the VIE or its shareholder’s default. We completed the registration of the pledged equity interests in the VIE with the competent administration for industry and commerce in May 2021.</w:t>
      </w:r>
    </w:p>
    <w:p>
      <w:pPr>
        <w:spacing w:after="0" w:line="172"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Exclusive consultancy and service agreement. </w:t>
      </w:r>
      <w:r>
        <w:rPr>
          <w:rFonts w:ascii="Times New Roman" w:cs="Times New Roman" w:eastAsia="Times New Roman" w:hAnsi="Times New Roman"/>
          <w:sz w:val="18"/>
          <w:szCs w:val="18"/>
          <w:color w:val="auto"/>
        </w:rPr>
        <w:t>Pursuant to the exclusive consultancy and service agreement dated May 20, 2021 entered into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between our WFOE and the VIE, our WFOE has the exclusive right, during the term of the exclusive consultancy and service agreement, to provide or designate its affiliates to provide complete business support and technical and consulting services to the VIE. In exchange, the VIE shall pay our WFOE in an amount equals to the VIE’s revenues minus any turnover tax, total costs incurred by the VIE, any provisions for statutory reserves and retained earnings, which should be paid on a quarterly basis. The retained earnings should be zero unless our WFOE agrees in writing for any other amount. Our WFOE shall have exclusive and proprietary rights and interests in all rights, ownership, interests and intellectual properties arising out of or created during the performance of the agreement. The exclusive consultancy and service agreement shall remain effective for ten years from the execution date and shall be extended for another ten years unless confirmed otherwise in writing by our WFOE within three months prior to the expiration date.</w:t>
      </w:r>
    </w:p>
    <w:p>
      <w:pPr>
        <w:spacing w:after="0" w:line="187" w:lineRule="exact"/>
        <w:rPr>
          <w:sz w:val="20"/>
          <w:szCs w:val="20"/>
          <w:color w:val="auto"/>
        </w:rPr>
      </w:pPr>
    </w:p>
    <w:p>
      <w:pPr>
        <w:ind w:left="200" w:right="1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Exclusive option agreement. </w:t>
      </w:r>
      <w:r>
        <w:rPr>
          <w:rFonts w:ascii="Times New Roman" w:cs="Times New Roman" w:eastAsia="Times New Roman" w:hAnsi="Times New Roman"/>
          <w:sz w:val="18"/>
          <w:szCs w:val="18"/>
          <w:color w:val="auto"/>
        </w:rPr>
        <w:t>Under the exclusive option agreement dated May 20, 2021 entered into by and between our WFOE, the VIE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the shareholder of the VIE irrevocably granted our WFOE an</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40"/>
          </w:cols>
          <w:pgMar w:left="320" w:top="452" w:right="5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64" w:lineRule="auto"/>
        <w:rPr>
          <w:sz w:val="20"/>
          <w:szCs w:val="20"/>
          <w:color w:val="auto"/>
        </w:rPr>
      </w:pPr>
      <w:r>
        <w:rPr>
          <w:rFonts w:ascii="Times New Roman" w:cs="Times New Roman" w:eastAsia="Times New Roman" w:hAnsi="Times New Roman"/>
          <w:sz w:val="17"/>
          <w:szCs w:val="17"/>
          <w:color w:val="auto"/>
        </w:rPr>
        <w:t>exclusive right to purchase, or designate any third-party to purchase, all or part of the equity interests and assets in the VIE at any time in part or in whole at the sole and absolute discretion of our WFOE to the extent permitted by PRC law and at a purchase price equal to the lowest price permitted by the then-applicable PRC law and regulations at the time of exercise of the options. The shareholder of the VIE shall give all considerations it received within 10 business days from the exercise of the options to our WFOE or its designee(s) in a legally compliant manner. Without the prior written consent of our WFOE, the VIE and/or its shareholder shall not, among others (1) transfer or otherwise dispose of any equity, assets or business of the VIE, or create any pledge or encumbrance on any equity, assets or business of the VIE, (2) increase or decrease the VIE’s registered capital or change its structure of registered capital, (3) sell, transfer, mortgage, or dispose of in any other manner outside of ordinary course of business any assets of the VIE or any legal or beneficial interests in the material business or revenues of the VIE, or allow any encumbrances thereon of any security interests, (4) enter into any major contracts or terminate any material contracts to which the VIE is a party, or enter into any other contract that may result in any conflicts with the VIE’s existing materials contacts, (5) carry out any transactions that may substantially affect the VIE’s assets, business operations, shareholding structure, or equity investment in third-party entities, (6) appointment or replacement of any director, supervisor, or any management who could be appointed or dismissed by shareholder of the VIE, (7) declare or distribute dividends, (8) dissolute or liquate or terminate the VIE, (9) amend the VIE’s articles of association, or (10) allow the VIE to incur any borrowings or loans. This agreement shall become effective on the execution date and remain in effect until all equity interests in the VIE have been transferred to our WFOE and/or its designee(s) pursuant to this agreement.</w:t>
      </w:r>
    </w:p>
    <w:p>
      <w:pPr>
        <w:spacing w:after="0" w:line="181"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In the opinion of our PRC counsel, CM Law Firm: (1) the ownership structures of the VIE and WFOE are not in any violation of applicable PRC laws and regulations currently in effect; and (2) the contractual arrangements between our WFOE, the VIE and its shareholder governed by PRC laws and regulations are currently valid, binding and enforceable and will not result in any violation of applicable PRC laws and regulations currently in effect.</w:t>
      </w:r>
    </w:p>
    <w:p>
      <w:pPr>
        <w:spacing w:after="0" w:line="181" w:lineRule="exact"/>
        <w:rPr>
          <w:sz w:val="20"/>
          <w:szCs w:val="20"/>
          <w:color w:val="auto"/>
        </w:rPr>
      </w:pPr>
    </w:p>
    <w:p>
      <w:pPr>
        <w:ind w:left="200" w:right="80" w:firstLine="434"/>
        <w:spacing w:after="0" w:line="249" w:lineRule="auto"/>
        <w:rPr>
          <w:sz w:val="20"/>
          <w:szCs w:val="20"/>
          <w:color w:val="auto"/>
        </w:rPr>
      </w:pPr>
      <w:r>
        <w:rPr>
          <w:rFonts w:ascii="Times New Roman" w:cs="Times New Roman" w:eastAsia="Times New Roman" w:hAnsi="Times New Roman"/>
          <w:sz w:val="18"/>
          <w:szCs w:val="18"/>
          <w:color w:val="auto"/>
        </w:rPr>
        <w:t>However, we have been further advised by CM Law Firm that there are substantial uncertainties regarding the interpretation and application of current PRC laws and regulations. The PRC government may ultimately take a view contrary to or otherwise different from the opinion of our PRC counsel. Investors in our securities (including the ADSs) are not purchasing equity interest in the VIE in China but, instead, are purchasing equity interest in a holding company incorporated in the Cayman Islands. The contractual arrangements may be less effective from direct ownership in providing us with control over the VIE or its subsidiaries and we may incur substantial costs to enforce the terms of the arrangements. Our corporate structure is subject to risks associated with our contractual arrangements with the VIE.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broad discretion to take action in dealing with such violations or failures. We could be subject to severe penalties or be forced to relinquish our interests in those operations. Our Cayman Islands holding company, our WFOE and the affiliated entities, and investors in securities (including the ADSs) face uncertainty with respect to potential future actions by the PRC government that could affect the enforceability of the contractual arrangements with the VIE and, consequently, significantly affect the financial performance of our company as a whole and the affiliated entities. See “Risk Factors — Risks Related to Our Corporate Structure.”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40"/>
          </w:cols>
          <w:pgMar w:left="320" w:top="452"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18" w:lineRule="exact"/>
        <w:rPr>
          <w:sz w:val="20"/>
          <w:szCs w:val="20"/>
          <w:color w:val="auto"/>
        </w:rPr>
      </w:pPr>
    </w:p>
    <w:p>
      <w:pPr>
        <w:ind w:left="200" w:firstLine="434"/>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results of operations and financial condition in conjunction with the section entitled “Selected Consolidated Financial Data” and our consolidated financial statements and the related notes included elsewhere in this prospectus. This discussion contains forward-looking statements that involve risks and uncertainties about our business and operations. The actual results and the timing of selected events may differ materially from those anticipated in these forward-looking statements as a result of various factors, including those we describe under “Risk Factors” and elsewhere in this prospectus. See “Special Note Regarding Forward-Looking Statements.”</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 xml:space="preserve">We are the largest online learning service provider in China’s adult learning market for personal interest courses and among the top five service providers in China’s total adult learning market, in terms of revenue in 2021, according to the F&amp;S report. We offer easy-to-understand, affordable, and accessible online courses to adult learners under various brands, including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and to a lesser extent, marketing services and enterprise talent management services to enterprise customers.</w:t>
      </w:r>
    </w:p>
    <w:p>
      <w:pPr>
        <w:spacing w:after="0" w:line="181" w:lineRule="exact"/>
        <w:rPr>
          <w:sz w:val="20"/>
          <w:szCs w:val="20"/>
          <w:color w:val="auto"/>
        </w:rPr>
      </w:pPr>
    </w:p>
    <w:p>
      <w:pPr>
        <w:ind w:left="200" w:right="320" w:firstLine="434"/>
        <w:spacing w:after="0" w:line="256" w:lineRule="auto"/>
        <w:rPr>
          <w:sz w:val="20"/>
          <w:szCs w:val="20"/>
          <w:color w:val="auto"/>
        </w:rPr>
      </w:pPr>
      <w:r>
        <w:rPr>
          <w:rFonts w:ascii="Times New Roman" w:cs="Times New Roman" w:eastAsia="Times New Roman" w:hAnsi="Times New Roman"/>
          <w:sz w:val="18"/>
          <w:szCs w:val="18"/>
          <w:color w:val="auto"/>
        </w:rPr>
        <w:t>We launched our financial literacy learning services in July 2019 and quickly became the largest service provider in China’s online financial learning market in terms of revenue in 2021 according to the F&amp;S report. In August 2021, we expanded our offerings into other personal interests to leverage the general public’s gradual awakening to more diverse needs in pursuing personal development and lifelong learning. We derive revenues from course fees charged to learners for our individual online learning services.</w:t>
      </w:r>
    </w:p>
    <w:p>
      <w:pPr>
        <w:spacing w:after="0" w:line="181"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In February 2020, we launched our marketing services to financial intermediary enterprises, allowing them to connect with our learners to enlarge their customer base. We charge leads referral fees based on the quality and quantity of the leads generated. In June 2022, we launched our enterprise talent management services to provide enterprise customers with online talent assessment, training and learning services for internal employee management. We charge service fees for enterprise talent management services based on service contents and duration, and in July 2022, we began to recognize revenue for such services.</w:t>
      </w:r>
    </w:p>
    <w:p>
      <w:pPr>
        <w:spacing w:after="0" w:line="185"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As of November 30, 2022, we had accumulated approximately 75.1 million registered users, quadrupling from 17.0 million as of June 30, 2021. For the fiscal year ended June 30, 2022, we had approximately 1.1 million paying learners, representing a 37.5% increase from 0.8 million for the fiscal year ended June 30, 2021. See “— Key Operating Metrics” for details. For the five months ended November 30, 2022, we had 0.5 million paying learners. Our total revenues were RMB1,759.9 million, RMB2,868.0 million (US$403.2 million), RMB744.0 million and RMB659.4 million (US$92.7 million) for the fiscal years ended June 30, 2021 and 2022 and the three months ended September 30, 2021 and 2022, respectively. We incurred net loss of RMB316.0 million, RMB233.4 million (US$32.8 million), RMB77.9 million and RMB97.3 million (US$13.7 million) in the fiscal years ended June 30, 2021 and 2022 and the three months ended September 30, 2021 and 2022, respectively. We had adjusted net loss of RMB214.2 million, adjusted net profit of RMB58.0 million (US$8.2 million) and adjusted net loss of RMB48.8 million and RMB50.9 million (US$7.2 million) in the same periods, respectively. See “— Non-GAAP Financial Measures.”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Factors Affecting Results of Operations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factors affecting results of operations</w:t>
      </w:r>
    </w:p>
    <w:p>
      <w:pPr>
        <w:spacing w:after="0" w:line="116" w:lineRule="exact"/>
        <w:rPr>
          <w:sz w:val="20"/>
          <w:szCs w:val="20"/>
          <w:color w:val="auto"/>
        </w:rPr>
      </w:pPr>
    </w:p>
    <w:p>
      <w:pPr>
        <w:ind w:left="200" w:right="240" w:firstLine="434"/>
        <w:spacing w:after="0" w:line="275"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have been, and are expected to continue to be, subject to the influence of the general factors affecting the overall economy and the industry that we operate in.</w:t>
      </w:r>
    </w:p>
    <w:p>
      <w:pPr>
        <w:spacing w:after="0" w:line="164" w:lineRule="exact"/>
        <w:rPr>
          <w:sz w:val="20"/>
          <w:szCs w:val="20"/>
          <w:color w:val="auto"/>
        </w:rPr>
      </w:pPr>
    </w:p>
    <w:p>
      <w:pPr>
        <w:ind w:left="200" w:right="620" w:firstLine="434"/>
        <w:spacing w:after="0" w:line="275" w:lineRule="auto"/>
        <w:rPr>
          <w:sz w:val="20"/>
          <w:szCs w:val="20"/>
          <w:color w:val="auto"/>
        </w:rPr>
      </w:pPr>
      <w:r>
        <w:rPr>
          <w:rFonts w:ascii="Times New Roman" w:cs="Times New Roman" w:eastAsia="Times New Roman" w:hAnsi="Times New Roman"/>
          <w:sz w:val="18"/>
          <w:szCs w:val="18"/>
          <w:color w:val="auto"/>
        </w:rPr>
        <w:t>We, through our WFOE and the affiliated entities, primarily operate in China’s online adult learning market. Our results of operations and financial condition are significantly affected by macroeconomic factors, including</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320" w:top="452" w:right="5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color w:val="auto"/>
        </w:rPr>
        <w:t>China’s economic performance and growth, urbanization level, and per capita disposable income, all of which have an impact on the mass market’s demand for and ability to spend on online learning services and, in turn, China’s online adult learning industry. In addition, as we expanded our services to enterprise customers, the macroeconomic factors will also affect, among others, these customers’ spending on professional training and other relevant services, as well as the demand for marketing services from financial intermediary enterprises, which in turn affects our results of operations and financial condition.</w:t>
      </w:r>
    </w:p>
    <w:p>
      <w:pPr>
        <w:spacing w:after="0" w:line="185"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Our results of operations and financial condition depend significantly on the overall development status of China’s online adult learning industry, including, among others, the awareness of the importance of personal development, the willingness to spend on personal interests, and adoption of online learning platforms among Chinese individuals. In particular, our results of operations and financial condition are driven by technological factors affecting the delivery of online learning services in China, including technologies in live streaming, artificial intelligence, and big data, and the penetration of the mobile internet and devices, all of which influence the online learning experience, the course contents and quality, and the efficiency of course delivery and in turn the offline-to-online transition of adult learning services. Our results of operations and financial condition also depend in part on competitive landscape of the online adult learning industry, and we compete, to some extent, with traditional offline players. Moreover, our results of operations and financial condition are affected by the regulatory regime relating to, among others, our business and operations, our industry, and our technology infrastructure. The PRC government regulates various aspects of our business operations and capital raising activities, including the regulatory approval and licensing requirements for entities providing online learning services and other services, data security and personal information protection, and our oversea capital raising activities in general.</w:t>
      </w:r>
    </w:p>
    <w:p>
      <w:pPr>
        <w:spacing w:after="0" w:line="191" w:lineRule="exact"/>
        <w:rPr>
          <w:sz w:val="20"/>
          <w:szCs w:val="20"/>
          <w:color w:val="auto"/>
        </w:rPr>
      </w:pPr>
    </w:p>
    <w:p>
      <w:pPr>
        <w:ind w:left="200" w:right="700" w:firstLine="434"/>
        <w:spacing w:after="0" w:line="275" w:lineRule="auto"/>
        <w:rPr>
          <w:sz w:val="20"/>
          <w:szCs w:val="20"/>
          <w:color w:val="auto"/>
        </w:rPr>
      </w:pPr>
      <w:r>
        <w:rPr>
          <w:rFonts w:ascii="Times New Roman" w:cs="Times New Roman" w:eastAsia="Times New Roman" w:hAnsi="Times New Roman"/>
          <w:sz w:val="18"/>
          <w:szCs w:val="18"/>
          <w:color w:val="auto"/>
        </w:rPr>
        <w:t>Our results of operations and financial condition are also subject to the effect of the COVID-19 pandemic. For details, see “— Effects of COVID-19 Pandemic.”</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Specific factors affecting results of operations</w:t>
      </w:r>
    </w:p>
    <w:p>
      <w:pPr>
        <w:spacing w:after="0" w:line="116" w:lineRule="exact"/>
        <w:rPr>
          <w:sz w:val="20"/>
          <w:szCs w:val="20"/>
          <w:color w:val="auto"/>
        </w:rPr>
      </w:pPr>
    </w:p>
    <w:p>
      <w:pPr>
        <w:ind w:left="200" w:right="940" w:firstLine="434"/>
        <w:spacing w:after="0" w:line="275" w:lineRule="auto"/>
        <w:rPr>
          <w:sz w:val="20"/>
          <w:szCs w:val="20"/>
          <w:color w:val="auto"/>
        </w:rPr>
      </w:pPr>
      <w:r>
        <w:rPr>
          <w:rFonts w:ascii="Times New Roman" w:cs="Times New Roman" w:eastAsia="Times New Roman" w:hAnsi="Times New Roman"/>
          <w:sz w:val="18"/>
          <w:szCs w:val="18"/>
          <w:color w:val="auto"/>
        </w:rPr>
        <w:t>In addition to the general factors, we believe that our business, results of operations and financial condition are affected by company-specific factors, including the key factors discussed below.</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attract new registered users and learners</w:t>
      </w:r>
    </w:p>
    <w:p>
      <w:pPr>
        <w:spacing w:after="0" w:line="114" w:lineRule="exact"/>
        <w:rPr>
          <w:sz w:val="20"/>
          <w:szCs w:val="20"/>
          <w:color w:val="auto"/>
        </w:rPr>
      </w:pPr>
    </w:p>
    <w:p>
      <w:pPr>
        <w:ind w:left="200" w:right="240" w:firstLine="434"/>
        <w:spacing w:after="0" w:line="275" w:lineRule="auto"/>
        <w:rPr>
          <w:sz w:val="20"/>
          <w:szCs w:val="20"/>
          <w:color w:val="auto"/>
        </w:rPr>
      </w:pPr>
      <w:r>
        <w:rPr>
          <w:rFonts w:ascii="Times New Roman" w:cs="Times New Roman" w:eastAsia="Times New Roman" w:hAnsi="Times New Roman"/>
          <w:sz w:val="18"/>
          <w:szCs w:val="18"/>
          <w:color w:val="auto"/>
        </w:rPr>
        <w:t>Our revenues depend significantly on our individual online learning services, especially our financial literacy courses, and we must continue to attract new registered users and learners and increase their engagement on our platforms over time.</w:t>
      </w:r>
    </w:p>
    <w:p>
      <w:pPr>
        <w:spacing w:after="0" w:line="164"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We have benefited from our organic business model and experienced a significant growth in our learner base since the launch of our online courses. The effectiveness and efficiency of our sales and marketing activities are critical to our business growth and results of operations. We primarily leverage major social media in China, such as Douyin, Weixin and Kuaishou, and to a much lesser extent, other online and offline channels to access prospective users and learners. The growth of our users and learners largely depends on our ability to identify and attract users from such marketing channels to join our platforms and attend our course offerings.</w:t>
      </w:r>
    </w:p>
    <w:p>
      <w:pPr>
        <w:spacing w:after="0" w:line="185"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Our ability to attract prospective users and learners also depend on our ability to develop and offer diversified, high-quality course offerings. In July 2019, we launched our financial literacy learning services. In August 2021, we expanded our course offerings into other adult personal interest courses. In the fiscal year ended June 30, 2022 and the three months ended September 30, 2022, our other personal interest courses contributed revenues of RMB193.9 million (US$27.3 million) and RMB116.5 million (US$16.4 million), respectively, representing 6.8% and 17.7% of our total revenues for the same periods, respectively. We expect that we can continue to attract prospective users and learners as we continue to develop new course offerings and improve the teaching quality and learning experience of our course offerings.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320" w:top="452" w:right="5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convert registered users to paying learners</w:t>
      </w:r>
    </w:p>
    <w:p>
      <w:pPr>
        <w:spacing w:after="0" w:line="11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Our ability to generate revenues depends significantly on our paying learner base, which in turn depends significantly on the effectiveness of our sales and marketing activities in acquiring new registered users and our progressive course mode in attracting users to purchase our premium courses. Once we bring new users onto our platforms, we encourage them to attend our introductory courses, and subsequently, to further purchase and enroll in our premium courses. Substantially all of our paying learners have previously attended our introductory courses. As of June 30, 2021 and 2022 and November 30, 2022, our financial literacy courses had accumulated approximately 11.9 million, 24.0 million and 28.3 million learners for introductory courses, respectively. For the fiscal year ended June 30, 2021 and 2022 and the five months ended November 30, 2022, our financial literacy courses had approximately 0.8 million, 1.0 million and 0.4 million paying learners, respectively.</w:t>
      </w:r>
    </w:p>
    <w:p>
      <w:pPr>
        <w:spacing w:after="0" w:line="187"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Our ability to expand our learner base also depends on a number of other factors, such as the perceived attractiveness, effectiveness and quality of our course offerings, the capabilities of our instructors and tutors, and the learning experience on our platforms. We believe that our carefully selected, well-designed curriculums and learning materials and our ability to expand and upgrade our course offerings in a timely manner according to market demands are critical in attracting learners. We will also continue to improve our technology infrastructure and study toolkits to further improve the quality and learning experience of our course offerings.</w:t>
      </w:r>
    </w:p>
    <w:p>
      <w:pPr>
        <w:spacing w:after="0" w:line="185"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We have sought to enhance our ability to continuously appeal to our existing registered users, by sending course notifications and advertisements to registered users who have not participated in our courses, so that they might enroll in our courses in the future. We have also sought to enhance cross-selling and up-selling by encouraging our existing learners to enroll in different course categories and continue their learning journey with more advanced course levels. We expect that our continuous user engagement and retention efforts will better capture the business opportunities associated with users’ interests in personal development, increase their spending, and further monetize our registered user base.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effectively price our courses</w:t>
      </w:r>
    </w:p>
    <w:p>
      <w:pPr>
        <w:spacing w:after="0" w:line="114"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Our revenues are significantly affected by the level of course fees we charge for our premium courses. Our introductory courses are offered free of charges or, occasionally, for a nominal price, which was generally no more than RMB9.9 as of November 30, 2022. Our ability to price our courses effectively is affected by a number of factors, including, among others, the overall demand for our courses, the quality and effectiveness of our course offerings, and the prices and availability of competing courses. We consider a number of factors in determining the prices of our courses, primarily including our course quality, our service capabilities, and the macroeconomic environment, and we have, from time to time, increased and may continue to increase our course pricing as we continue to upgrade our course offerings.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diversify and improve our course offerings and services</w:t>
      </w:r>
    </w:p>
    <w:p>
      <w:pPr>
        <w:spacing w:after="0" w:line="114"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We seek to continuously diversify our course offerings and services. The quality and breadth of our course offerings are critical to learners’ demand and our ability to price our courses and compete effectively and generate revenue in a sustainable manner. The quality of our course offerings in turn depends on, among others, our ability to select and offer attractive course contents and enhance our curriculums, learning materials and learning tools, and the technological capability that supports our course development and delivery. The breadth of our course offerings depends on, among others, our ability to quickly and precisely capture the evolving demand for online learning services as well as the efficiency and effectiveness of our content development process and our sales and marketing activities to promote the new courses. Beginning in the three months ended September 30, 2022, we have allocated an increasing portion of marketing and corporate resources to the promotion of various subjects of courses, in addition to our flagship financial literacy courses, in an effort to diversify our business, and as a result, we have experienced, and may continue to experience, fluctuations in revenue generated from those courses. We may continue to allocate our marketing efforts away from financial literacy courses in order to diversify our course offerings, and the dollar amount and/or proportion of marketing</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40"/>
          </w:cols>
          <w:pgMar w:left="320" w:top="452" w:right="5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and corporate resources devoted to financial literacy courses may continue to decline, which may negatively affect the revenues generated from our financial literacy courses and its growth rate.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also be adversely affected. Moreover, we depend significantly on our instructors to deliver courses in an effective manner and our tutors to serve and maintain good relationship with our learners, which affects our learners’ perceptions about the quality of our course offerings and services and their overall learning experience.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strengthen our technological capability</w:t>
      </w:r>
    </w:p>
    <w:p>
      <w:pPr>
        <w:spacing w:after="0" w:line="114" w:lineRule="exact"/>
        <w:rPr>
          <w:sz w:val="20"/>
          <w:szCs w:val="20"/>
          <w:color w:val="auto"/>
        </w:rPr>
      </w:pPr>
    </w:p>
    <w:p>
      <w:pPr>
        <w:ind w:left="200" w:right="100" w:firstLine="434"/>
        <w:spacing w:after="0" w:line="266" w:lineRule="auto"/>
        <w:rPr>
          <w:sz w:val="20"/>
          <w:szCs w:val="20"/>
          <w:color w:val="auto"/>
        </w:rPr>
      </w:pPr>
      <w:r>
        <w:rPr>
          <w:rFonts w:ascii="Times New Roman" w:cs="Times New Roman" w:eastAsia="Times New Roman" w:hAnsi="Times New Roman"/>
          <w:sz w:val="17"/>
          <w:szCs w:val="17"/>
          <w:color w:val="auto"/>
        </w:rPr>
        <w:t>Our technological capability is instrumental to our ability to engage with prospective users and learners, deliver learning services, and achieve operating efficiency. For instance, we rely in part on the strengths of our live streaming capability and network infrastructure to deliver our courses to a growing number of learners in a stable and efficient manner, which affects their learning experience and their willingness to pay for our courses. We have also invested in technological measures to enhance the quality and breadth of our offerings, such as by continuously updating our applications and platforms and providing intelligent study toolkits. Moreover, we have applied various data analytic technologies to optimize multiple areas of our business operations. We utilize our intelligent marketing system and intelligent interactive system to monitor and control the effectiveness of our sales and marketing activities and improve learner engagement. As we further expand our learner base, refresh and enrich our course portfolio, and diversify our service offerings, including services to enterprise customers, we believe that our technological capability will continue to be critical to our business performance and operating efficiency, which in turn will affect our results of operations and financial condition.</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control our operating costs and expenses</w:t>
      </w:r>
    </w:p>
    <w:p>
      <w:pPr>
        <w:spacing w:after="0" w:line="114" w:lineRule="exact"/>
        <w:rPr>
          <w:sz w:val="20"/>
          <w:szCs w:val="20"/>
          <w:color w:val="auto"/>
        </w:rPr>
      </w:pPr>
    </w:p>
    <w:p>
      <w:pPr>
        <w:ind w:left="200" w:right="400" w:firstLine="434"/>
        <w:spacing w:after="0" w:line="272" w:lineRule="auto"/>
        <w:rPr>
          <w:sz w:val="20"/>
          <w:szCs w:val="20"/>
          <w:color w:val="auto"/>
        </w:rPr>
      </w:pPr>
      <w:r>
        <w:rPr>
          <w:rFonts w:ascii="Times New Roman" w:cs="Times New Roman" w:eastAsia="Times New Roman" w:hAnsi="Times New Roman"/>
          <w:sz w:val="17"/>
          <w:szCs w:val="17"/>
          <w:color w:val="auto"/>
        </w:rPr>
        <w:t>Our operating margins depend in part on our ability to control our costs and realize additional operation leverage as we expand. For the fiscal years ended June 30, 2021 and 2022 and the three months ended September 30, 2021 and 2022, our cost of revenues accounted for 10.2%, 14.3%,</w:t>
      </w:r>
    </w:p>
    <w:p>
      <w:pPr>
        <w:spacing w:after="0" w:line="2" w:lineRule="exact"/>
        <w:rPr>
          <w:sz w:val="20"/>
          <w:szCs w:val="20"/>
          <w:color w:val="auto"/>
        </w:rPr>
      </w:pPr>
    </w:p>
    <w:p>
      <w:pPr>
        <w:ind w:left="200" w:right="160"/>
        <w:spacing w:after="0" w:line="248" w:lineRule="auto"/>
        <w:rPr>
          <w:sz w:val="20"/>
          <w:szCs w:val="20"/>
          <w:color w:val="auto"/>
        </w:rPr>
      </w:pPr>
      <w:r>
        <w:rPr>
          <w:rFonts w:ascii="Times New Roman" w:cs="Times New Roman" w:eastAsia="Times New Roman" w:hAnsi="Times New Roman"/>
          <w:sz w:val="18"/>
          <w:szCs w:val="18"/>
          <w:color w:val="auto"/>
        </w:rPr>
        <w:t>11.6% and 11.4% of our total revenues, respectively. A substantial majority of our cost of revenues consists of staff costs and labor outsourcing costs. Historically, we have benefited from the significant scalability of our business model and have been able to control those costs at a relatively low level despite the significant growth in our revenues. Our ability to continue to control our costs largely depends on our ability to increase the economic benefits from the scalability of our business model and utilize advanced technology to optimize our course operations.</w:t>
      </w:r>
    </w:p>
    <w:p>
      <w:pPr>
        <w:spacing w:after="0" w:line="189" w:lineRule="exact"/>
        <w:rPr>
          <w:sz w:val="20"/>
          <w:szCs w:val="20"/>
          <w:color w:val="auto"/>
        </w:rPr>
      </w:pPr>
    </w:p>
    <w:p>
      <w:pPr>
        <w:ind w:left="200" w:right="160" w:firstLine="434"/>
        <w:spacing w:after="0" w:line="257" w:lineRule="auto"/>
        <w:rPr>
          <w:sz w:val="20"/>
          <w:szCs w:val="20"/>
          <w:color w:val="auto"/>
        </w:rPr>
      </w:pPr>
      <w:r>
        <w:rPr>
          <w:rFonts w:ascii="Times New Roman" w:cs="Times New Roman" w:eastAsia="Times New Roman" w:hAnsi="Times New Roman"/>
          <w:sz w:val="18"/>
          <w:szCs w:val="18"/>
          <w:color w:val="auto"/>
        </w:rPr>
        <w:t>In addition, our ability to market our course offerings in a cost-effective manner is critical for us to maintain and improve our operating margins. For the fiscal years ended June 30, 2021 and 2022 and the three months ended September 30, 2021 and 2022, we incurred net loss of</w:t>
      </w:r>
    </w:p>
    <w:p>
      <w:pPr>
        <w:spacing w:after="0" w:line="1" w:lineRule="exact"/>
        <w:rPr>
          <w:sz w:val="20"/>
          <w:szCs w:val="20"/>
          <w:color w:val="auto"/>
        </w:rPr>
      </w:pPr>
    </w:p>
    <w:p>
      <w:pPr>
        <w:ind w:left="200" w:right="60"/>
        <w:spacing w:after="0" w:line="247" w:lineRule="auto"/>
        <w:rPr>
          <w:sz w:val="20"/>
          <w:szCs w:val="20"/>
          <w:color w:val="auto"/>
        </w:rPr>
      </w:pPr>
      <w:r>
        <w:rPr>
          <w:rFonts w:ascii="Times New Roman" w:cs="Times New Roman" w:eastAsia="Times New Roman" w:hAnsi="Times New Roman"/>
          <w:sz w:val="18"/>
          <w:szCs w:val="18"/>
          <w:color w:val="auto"/>
        </w:rPr>
        <w:t>RMB316.0 million, RMB233.4 million (US$32.8 million), RMB77.9 million and RMB97.3 million (US$13.7 million), respectively, primarily due to the large spending on selling and marketing activities. Our sales and marketing expenses accounted for 96.3%, 78.6%, 90.1% and 88.1% of our total revenues in the same corresponding periods, respectively. Our sales and marketing expenses primarily consist of online advertising spending, and to a lesser extent, compensation to our sales and marketing personnel. Our ability to maintain or lower our sales and marketing expenses as a percentage of revenues depends on our ability to improve sales and marketing efficiency, including through the adoption of more effective technological measures, understand learner demands, and introduce more attractive course categories. We expect that our sales and marketing expenses will continue to be the most significant portion of our operating expenses under our existing business model and will continue to increase as the online user acquisition costs increase in general and as we expand our course offerings into new fields. We may also incur increases in other operating expenses due to the expansion of our course offerings and the initiatives of our new business such as our services to enterprise customers.</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2" w:right="5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Ability to retain and expand our enterprise customers</w:t>
      </w:r>
    </w:p>
    <w:p>
      <w:pPr>
        <w:spacing w:after="0" w:line="114" w:lineRule="exact"/>
        <w:rPr>
          <w:sz w:val="20"/>
          <w:szCs w:val="20"/>
          <w:color w:val="auto"/>
        </w:rPr>
      </w:pPr>
    </w:p>
    <w:p>
      <w:pPr>
        <w:ind w:left="200" w:right="160" w:firstLine="434"/>
        <w:spacing w:after="0" w:line="272" w:lineRule="auto"/>
        <w:rPr>
          <w:sz w:val="20"/>
          <w:szCs w:val="20"/>
          <w:color w:val="auto"/>
        </w:rPr>
      </w:pPr>
      <w:r>
        <w:rPr>
          <w:rFonts w:ascii="Times New Roman" w:cs="Times New Roman" w:eastAsia="Times New Roman" w:hAnsi="Times New Roman"/>
          <w:sz w:val="17"/>
          <w:szCs w:val="17"/>
          <w:color w:val="auto"/>
        </w:rPr>
        <w:t>Our ability to retain and expand our enterprise customers also affects our ability to increase our revenues and margins. For the fiscal years ended June 30, 2021 and 2022 and the three months ended September 30, 2021 and 2022, revenues from our enterprise services accounted for 8.2%, 6.5%,</w:t>
      </w:r>
    </w:p>
    <w:p>
      <w:pPr>
        <w:spacing w:after="0" w:line="2" w:lineRule="exact"/>
        <w:rPr>
          <w:sz w:val="20"/>
          <w:szCs w:val="20"/>
          <w:color w:val="auto"/>
        </w:rPr>
      </w:pPr>
    </w:p>
    <w:p>
      <w:pPr>
        <w:ind w:left="200" w:right="40"/>
        <w:spacing w:after="0" w:line="265" w:lineRule="auto"/>
        <w:rPr>
          <w:sz w:val="20"/>
          <w:szCs w:val="20"/>
          <w:color w:val="auto"/>
        </w:rPr>
      </w:pPr>
      <w:r>
        <w:rPr>
          <w:rFonts w:ascii="Times New Roman" w:cs="Times New Roman" w:eastAsia="Times New Roman" w:hAnsi="Times New Roman"/>
          <w:sz w:val="17"/>
          <w:szCs w:val="17"/>
          <w:color w:val="auto"/>
        </w:rPr>
        <w:t>5.7% and 11.2% of our total revenues, respectively. Historically, our enterprise services primarily focused on marketing services to connect enterprises and individual learners. Our ability to increase our marketing services depends significantly on the size of our learner base and our ability to attract new learners. In addition, our ability to initiate new enterprise service offerings will affect our ability to attract enterprise customers and in turn, our ability to generate revenues from them. Since early 2022, we have been actively exploring and expanding new services to enterprise customers, including launching our talent management services and assisting enterprise customers in building their proprietary learning platforms. We may incur higher operating costs and expenses, including research and development expenses, due to the expansion of our services to enterprise customers.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Change in service offering mix</w:t>
      </w:r>
    </w:p>
    <w:p>
      <w:pPr>
        <w:spacing w:after="0" w:line="114" w:lineRule="exact"/>
        <w:rPr>
          <w:sz w:val="20"/>
          <w:szCs w:val="20"/>
          <w:color w:val="auto"/>
        </w:rPr>
      </w:pPr>
    </w:p>
    <w:p>
      <w:pPr>
        <w:ind w:left="200" w:right="120" w:firstLine="434"/>
        <w:spacing w:after="0" w:line="248" w:lineRule="auto"/>
        <w:rPr>
          <w:sz w:val="20"/>
          <w:szCs w:val="20"/>
          <w:color w:val="auto"/>
        </w:rPr>
      </w:pPr>
      <w:r>
        <w:rPr>
          <w:rFonts w:ascii="Times New Roman" w:cs="Times New Roman" w:eastAsia="Times New Roman" w:hAnsi="Times New Roman"/>
          <w:sz w:val="18"/>
          <w:szCs w:val="18"/>
          <w:color w:val="auto"/>
        </w:rPr>
        <w:t>We have been experiencing a shift in our service offering mix, in terms of our services to individual learners and enterprise customers and our online course offerings in financial literacy and other personal interest. This shift has affected, and is expected to continue to affect, our financial performance, especially our revenue growth and profit margin. Historically, substantially all of our revenues were generated from our online courses in financial literacy. We expect the revenue from other personal interest courses will continue to increase since their initial launch in August 2021. However, the gross profit margin of financial literacy and other personal interest learning services may differ. The launch of new courses may be accompanied with fluctuations in our revenues and gross profits, due to the development and the related allocation of our marketing and corporate resources to such courses. The level of returns from sales and marketing activities and the repeat purchase rate among the various subjects of courses also tend to vary depending on the developmental stage of such courses, primarily due to the market acceptance of the relevant courses and the efficiency level of our targeted sales and marketing activities. Furthermore, our revenues from our enterprise services have grown fast since the launch of marketing services in February 2020. We are also actively exploring other enterprise services, including enterprise talent management services launched in June 2022. The gross profit margin of our individual online learning services is expected to be generally higher than that of our enterprise services, as we may incur a large amount of upfront costs and expenses to initiate and ramp such enterprise services, technological infrastructure expenditures and R&amp;D staff costs and expenses, which may affect our overall gross profit margin. As a result, any future change in our service offering mix or change in profit margin of any business may have a corresponding impact on our overall gross profit margin.</w:t>
      </w:r>
    </w:p>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Effects of COVID-19 Pandemic</w:t>
      </w:r>
    </w:p>
    <w:p>
      <w:pPr>
        <w:spacing w:after="0" w:line="114" w:lineRule="exact"/>
        <w:rPr>
          <w:sz w:val="20"/>
          <w:szCs w:val="20"/>
          <w:color w:val="auto"/>
        </w:rPr>
      </w:pPr>
    </w:p>
    <w:p>
      <w:pPr>
        <w:ind w:left="200" w:firstLine="434"/>
        <w:spacing w:after="0" w:line="270" w:lineRule="auto"/>
        <w:rPr>
          <w:sz w:val="20"/>
          <w:szCs w:val="20"/>
          <w:color w:val="auto"/>
        </w:rPr>
      </w:pPr>
      <w:r>
        <w:rPr>
          <w:rFonts w:ascii="Times New Roman" w:cs="Times New Roman" w:eastAsia="Times New Roman" w:hAnsi="Times New Roman"/>
          <w:sz w:val="17"/>
          <w:szCs w:val="17"/>
          <w:color w:val="auto"/>
        </w:rPr>
        <w:t>COVID-19 has significantly affected China and many other countries. Since early 2020, the PRC government has imposed various measures to keep COVID-19 in check, including quarantine arrangements, travel restrictions, and stay-at-home orders from time to time. Such restrictions have adversely affected our operations, as it has caused inconvenience to our day-to-day operating activities. We have taken measures to minimize the impact of COVID-19 on our operations, including transitioning our employees to remote work and providing instructors with devices to facilitate remote course delivery during the pandemic. We have not incurred any material changes in our operating expenses as a result of the COVID-19 pandemic. We believe that our ability to meet the needs of our learners has not been materially affected by the government-instituted precautionary measures.</w:t>
      </w:r>
    </w:p>
    <w:p>
      <w:pPr>
        <w:spacing w:after="0" w:line="170"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The COVID-19 pandemic has broadly affected the online learning market, including the general awareness and acceptance of online learning services, the market demand of online learning services, individual disposable income, and enterprises’ spending on online services. Historically, the COVID-19 pandemic has contributed to the growth of China’s online adult learning market, and in turn, our business growth. However, we are not able to quantify the proportion of the increase in revenue that is attributable to the COVID-19 pandemic as opposed to other factors contributing to our growth in the same periods. Additionally, the circumstances that have driven our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40"/>
          </w:cols>
          <w:pgMar w:left="320" w:top="452" w:right="5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50" w:lineRule="auto"/>
        <w:rPr>
          <w:sz w:val="20"/>
          <w:szCs w:val="20"/>
          <w:color w:val="auto"/>
        </w:rPr>
      </w:pPr>
      <w:r>
        <w:rPr>
          <w:rFonts w:ascii="Times New Roman" w:cs="Times New Roman" w:eastAsia="Times New Roman" w:hAnsi="Times New Roman"/>
          <w:sz w:val="18"/>
          <w:szCs w:val="18"/>
          <w:color w:val="auto"/>
        </w:rPr>
        <w:t>business growth during the COVID-19 pandemic may not persist in the future. Many of the restrictive measures previously adopted by the PRC governments at various levels to control the spread of the COVID-19 virus have been revoked or replaced with more flexible measures since December 2022. While the revocation or replacement of the restrictive measures to contain the COVID-19 pandemic could have a positive impact on our normal operations, it may also shift the public’s focus to offline activities and reduce their interest in online learning. Moreover, there has been and may continue to be an increase in COVID-19 cases in China, and as a result, we experienced temporary disruption to our operations where many employees were infected with COVID-19 in December 2022, and we may face operational challenges with our services. Furthermore, the COVID-19 pandemic has also affected China’s and the world’s economy, and if the negative impact of the COVID-19 pandemic on the economy persists, individuals may have lower disposable income and may become less inclined to pay for online learning, and enterprises may also reduce their spending on our services. As a result, the growth rate of our revenue and our learner base may decline in the future.</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14"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presented in the following table, to evaluate our business. The calculation of the key metrics and other measures discussed below may differ from other similarly titled metrics used by other companies, securities analysts or investors. The following table presents certain key operating data as of/for the periods indicated.</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80" w:type="dxa"/>
            <w:vAlign w:val="bottom"/>
            <w:gridSpan w:val="3"/>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540" w:type="dxa"/>
            <w:vAlign w:val="bottom"/>
          </w:tcPr>
          <w:p>
            <w:pPr>
              <w:spacing w:after="0"/>
              <w:rPr>
                <w:sz w:val="13"/>
                <w:szCs w:val="13"/>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83"/>
        </w:trPr>
        <w:tc>
          <w:tcPr>
            <w:tcW w:w="6740" w:type="dxa"/>
            <w:vAlign w:val="bottom"/>
          </w:tcPr>
          <w:p>
            <w:pPr>
              <w:spacing w:after="0"/>
              <w:rPr>
                <w:sz w:val="6"/>
                <w:szCs w:val="6"/>
                <w:color w:val="auto"/>
              </w:rPr>
            </w:pPr>
          </w:p>
        </w:tc>
        <w:tc>
          <w:tcPr>
            <w:tcW w:w="1280" w:type="dxa"/>
            <w:vAlign w:val="bottom"/>
            <w:tcBorders>
              <w:bottom w:val="single" w:sz="8" w:color="auto"/>
            </w:tcBorders>
            <w:gridSpan w:val="3"/>
            <w:vMerge w:val="continue"/>
          </w:tcPr>
          <w:p>
            <w:pPr>
              <w:spacing w:after="0"/>
              <w:rPr>
                <w:sz w:val="6"/>
                <w:szCs w:val="6"/>
                <w:color w:val="auto"/>
              </w:rPr>
            </w:pPr>
          </w:p>
        </w:tc>
        <w:tc>
          <w:tcPr>
            <w:tcW w:w="1400" w:type="dxa"/>
            <w:vAlign w:val="bottom"/>
            <w:gridSpan w:val="2"/>
            <w:vMerge w:val="restart"/>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vMerge w:val="restart"/>
          </w:tcPr>
          <w:p>
            <w:pPr>
              <w:jc w:val="center"/>
              <w:ind w:left="397"/>
              <w:spacing w:after="0" w:line="147"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48"/>
        </w:trPr>
        <w:tc>
          <w:tcPr>
            <w:tcW w:w="6740" w:type="dxa"/>
            <w:vAlign w:val="bottom"/>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gridSpan w:val="2"/>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gridSpan w:val="2"/>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860" w:type="dxa"/>
            <w:vAlign w:val="bottom"/>
            <w:tcBorders>
              <w:top w:val="single" w:sz="8" w:color="auto"/>
            </w:tcBorders>
          </w:tcPr>
          <w:p>
            <w:pPr>
              <w:jc w:val="right"/>
              <w:ind w:right="200"/>
              <w:spacing w:after="0" w:line="153"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Registered users</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registered users</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b w:val="1"/>
                <w:bCs w:val="1"/>
                <w:color w:val="auto"/>
              </w:rPr>
              <w:t>Introductory course learners</w:t>
            </w:r>
            <w:r>
              <w:rPr>
                <w:rFonts w:ascii="Times New Roman" w:cs="Times New Roman" w:eastAsia="Times New Roman" w:hAnsi="Times New Roman"/>
                <w:sz w:val="24"/>
                <w:szCs w:val="24"/>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introductory course learners</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1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380" w:type="dxa"/>
            <w:vAlign w:val="bottom"/>
          </w:tcPr>
          <w:p>
            <w:pPr>
              <w:spacing w:after="0"/>
              <w:rPr>
                <w:sz w:val="13"/>
                <w:szCs w:val="13"/>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For the three</w:t>
            </w:r>
          </w:p>
        </w:tc>
        <w:tc>
          <w:tcPr>
            <w:tcW w:w="3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five</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318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440" w:type="dxa"/>
            <w:vAlign w:val="bottom"/>
            <w:gridSpan w:val="3"/>
          </w:tcPr>
          <w:p>
            <w:pPr>
              <w:jc w:val="cente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760" w:type="dxa"/>
            <w:vAlign w:val="bottom"/>
            <w:tcBorders>
              <w:top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9"/>
                <w:szCs w:val="9"/>
                <w:color w:val="auto"/>
              </w:rPr>
            </w:pPr>
          </w:p>
        </w:tc>
        <w:tc>
          <w:tcPr>
            <w:tcW w:w="1780" w:type="dxa"/>
            <w:vAlign w:val="bottom"/>
            <w:gridSpan w:val="3"/>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40" w:type="dxa"/>
            <w:vAlign w:val="bottom"/>
            <w:gridSpan w:val="3"/>
          </w:tcPr>
          <w:p>
            <w:pPr>
              <w:jc w:val="cente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80" w:type="dxa"/>
            <w:vAlign w:val="bottom"/>
            <w:gridSpan w:val="5"/>
          </w:tcPr>
          <w:p>
            <w:pPr>
              <w:jc w:val="right"/>
              <w:ind w:right="800"/>
              <w:spacing w:after="0" w:line="140"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Paying learners</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188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paying learners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Repeat purchase rate</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literacy</w:t>
            </w:r>
          </w:p>
        </w:tc>
        <w:tc>
          <w:tcPr>
            <w:tcW w:w="18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54.7%</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60.0%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personal interests</w:t>
            </w:r>
          </w:p>
        </w:tc>
        <w:tc>
          <w:tcPr>
            <w:tcW w:w="18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7" w:lineRule="exact"/>
        <w:rPr>
          <w:sz w:val="20"/>
          <w:szCs w:val="20"/>
          <w:color w:val="auto"/>
        </w:rPr>
      </w:pPr>
    </w:p>
    <w:p>
      <w:pPr>
        <w:ind w:left="620" w:hanging="421"/>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our introductory-level courses free of charges or, occasionally, for a nominal price, which was generally no more than RMB9.9 as of November 30, 2022.</w:t>
      </w:r>
    </w:p>
    <w:p>
      <w:pPr>
        <w:spacing w:after="0" w:line="3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114"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On March 1, 2022, we completed the sale of 100% equity interest of Beijing ChangYou Star Network Technology Co., Ltd. and its subsidiary Beijing Baichuan (collectively, the “Disposed Group”) to Beijing Shanronghaina Network Technology Co., Ltd., an entity controlled by Mr. Peng Li on behalf of all of our shareholders. The transaction is accounted for as a disposal under common control pursuant to ASC 360-10, and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2"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difference between the proceeds received by the transferring entity and the book value of the Disposed Group (after impairment included in earnings, if any) was recognized as a capital transaction and no gain or loss would be recorded. As such, RMB0.5 million was recognized as dividend to shareholders, which represents the difference between the proceeds of RMB22 million and the Disposed Group’s net carrying value. We do not consider the disposal is a strategic shift with major effect and have determined that discontinued operations reporting is not applicable.</w:t>
      </w:r>
    </w:p>
    <w:p>
      <w:pPr>
        <w:spacing w:after="0" w:line="181" w:lineRule="exact"/>
        <w:rPr>
          <w:sz w:val="20"/>
          <w:szCs w:val="20"/>
          <w:color w:val="auto"/>
        </w:rPr>
      </w:pPr>
    </w:p>
    <w:p>
      <w:pPr>
        <w:ind w:left="200" w:right="440" w:firstLine="43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have been prepared to show the pro forma effect of the disposal of the Disposed Group by applying pro forma adjustments to our historical consolidated financial information. The unaudited pro forma condensed consolidated financial information has been prepared in accordance with Article 11 of Regulation S-X, as amended by the final rule, Release</w:t>
      </w:r>
    </w:p>
    <w:p>
      <w:pPr>
        <w:ind w:left="200" w:right="80"/>
        <w:spacing w:after="0" w:line="250" w:lineRule="auto"/>
        <w:rPr>
          <w:sz w:val="20"/>
          <w:szCs w:val="20"/>
          <w:color w:val="auto"/>
        </w:rPr>
      </w:pPr>
      <w:r>
        <w:rPr>
          <w:rFonts w:ascii="Times New Roman" w:cs="Times New Roman" w:eastAsia="Times New Roman" w:hAnsi="Times New Roman"/>
          <w:sz w:val="18"/>
          <w:szCs w:val="18"/>
          <w:color w:val="auto"/>
        </w:rPr>
        <w:t>No. 33-10786 “Amendments to Financial Disclosures about Acquired and Disposed Businesses.” The unaudited pro forma condensed consolidated statements of operations are based upon our historical consolidated financial statements. The unaudited pro forma condensed consolidated statements of operations for the fiscal year ended June 30, 2022 is presented as if the disposal of the Disposed Group had occurred on July 1, 2021.</w:t>
      </w:r>
    </w:p>
    <w:p>
      <w:pPr>
        <w:spacing w:after="0" w:line="185"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is intended to provide investors with information about the impact of the disposal of the Disposed Group by showing how specific transactions have affected historical financial statements, illustrating the scope of the change in the historical results of operations. This unaudited pro forma condensed consolidated financial information should not be viewed as indicative of our financial results in the future and should be read in conjunction with our consolidated financial statements included elsewhere in this prospectus, as well as “Risk Factors,” “Summary Consolidated Financial and Other Operating Data,” “Capitalization,” and “Management’s Discussion and Analysis of Financial Condition and Results of Operations.” The financial information has been adjusted in the unaudited pro forma financial information to give effect to events that are directly attributable to the disposal of the Disposed Group and are factually supportable.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Borders>
              <w:bottom w:val="single" w:sz="8" w:color="auto"/>
            </w:tcBorders>
            <w:gridSpan w:val="3"/>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Transaction Adjustments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QuantaSing</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right"/>
              <w:ind w:right="400"/>
              <w:spacing w:after="0" w:line="115" w:lineRule="exact"/>
              <w:rPr>
                <w:sz w:val="20"/>
                <w:szCs w:val="20"/>
                <w:color w:val="auto"/>
              </w:rPr>
            </w:pPr>
            <w:r>
              <w:rPr>
                <w:rFonts w:ascii="Times New Roman" w:cs="Times New Roman" w:eastAsia="Times New Roman" w:hAnsi="Times New Roman"/>
                <w:sz w:val="13"/>
                <w:szCs w:val="13"/>
                <w:b w:val="1"/>
                <w:bCs w:val="1"/>
                <w:color w:val="auto"/>
              </w:rPr>
              <w:t>Disposed</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0"/>
                <w:szCs w:val="10"/>
                <w:b w:val="1"/>
                <w:bCs w:val="1"/>
                <w:color w:val="auto"/>
              </w:rPr>
              <w:t>(2)</w:t>
            </w:r>
          </w:p>
        </w:tc>
        <w:tc>
          <w:tcPr>
            <w:tcW w:w="320" w:type="dxa"/>
            <w:vAlign w:val="bottom"/>
            <w:vMerge w:val="restart"/>
          </w:tcPr>
          <w:p>
            <w:pPr>
              <w:spacing w:after="0"/>
              <w:rPr>
                <w:sz w:val="9"/>
                <w:szCs w:val="9"/>
                <w:color w:val="auto"/>
              </w:rPr>
            </w:pPr>
          </w:p>
        </w:tc>
        <w:tc>
          <w:tcPr>
            <w:tcW w:w="8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0"/>
                <w:szCs w:val="10"/>
                <w:b w:val="1"/>
                <w:bCs w:val="1"/>
                <w:color w:val="auto"/>
              </w:rPr>
              <w:t>(1)</w:t>
            </w:r>
          </w:p>
        </w:tc>
        <w:tc>
          <w:tcPr>
            <w:tcW w:w="3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160" w:type="dxa"/>
            <w:vAlign w:val="bottom"/>
            <w:gridSpan w:val="6"/>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(RMB in thousands, except for per share</w:t>
            </w:r>
          </w:p>
        </w:tc>
        <w:tc>
          <w:tcPr>
            <w:tcW w:w="1300" w:type="dxa"/>
            <w:vAlign w:val="bottom"/>
            <w:gridSpan w:val="3"/>
          </w:tcPr>
          <w:p>
            <w:pPr>
              <w:jc w:val="right"/>
              <w:ind w:right="861"/>
              <w:spacing w:after="0" w:line="153" w:lineRule="exact"/>
              <w:rPr>
                <w:sz w:val="20"/>
                <w:szCs w:val="20"/>
                <w:color w:val="auto"/>
              </w:rPr>
            </w:pPr>
            <w:r>
              <w:rPr>
                <w:rFonts w:ascii="Times New Roman" w:cs="Times New Roman" w:eastAsia="Times New Roman" w:hAnsi="Times New Roman"/>
                <w:sz w:val="14"/>
                <w:szCs w:val="14"/>
                <w:b w:val="1"/>
                <w:bCs w:val="1"/>
                <w:color w:val="auto"/>
              </w:rPr>
              <w:t>data)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(183,911)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99,445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111,170</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(99,445)</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2,459,217</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(72,741)</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2,386,476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(2,254,459)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(2,162,478)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(273,484)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20" w:type="dxa"/>
            <w:vAlign w:val="bottom"/>
          </w:tcPr>
          <w:p>
            <w:pPr>
              <w:spacing w:after="0"/>
              <w:rPr>
                <w:sz w:val="18"/>
                <w:szCs w:val="18"/>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(272,388)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(166,650)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(163,769)</w:t>
            </w:r>
          </w:p>
        </w:tc>
        <w:tc>
          <w:tcPr>
            <w:tcW w:w="0" w:type="dxa"/>
            <w:vAlign w:val="bottom"/>
          </w:tcPr>
          <w:p>
            <w:pPr>
              <w:spacing w:after="0"/>
              <w:rPr>
                <w:sz w:val="1"/>
                <w:szCs w:val="1"/>
                <w:color w:val="auto"/>
              </w:rPr>
            </w:pPr>
          </w:p>
        </w:tc>
      </w:tr>
      <w:tr>
        <w:trPr>
          <w:trHeight w:val="22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(2,694,593</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95,958</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(2,598,635</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3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(235,376)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(212,159)</w:t>
            </w:r>
          </w:p>
        </w:tc>
        <w:tc>
          <w:tcPr>
            <w:tcW w:w="0" w:type="dxa"/>
            <w:vAlign w:val="bottom"/>
          </w:tcPr>
          <w:p>
            <w:pPr>
              <w:spacing w:after="0"/>
              <w:rPr>
                <w:sz w:val="1"/>
                <w:szCs w:val="1"/>
                <w:color w:val="auto"/>
              </w:rPr>
            </w:pPr>
          </w:p>
        </w:tc>
      </w:tr>
      <w:tr>
        <w:trPr>
          <w:trHeight w:val="21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incomes:</w:t>
            </w:r>
          </w:p>
        </w:tc>
        <w:tc>
          <w:tcPr>
            <w:tcW w:w="2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 net</w:t>
            </w:r>
          </w:p>
        </w:tc>
        <w:tc>
          <w:tcPr>
            <w:tcW w:w="2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2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(215,076)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(192,570)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(18,350)</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(1,413)</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(19,763)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2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(212,333)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3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3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294640</wp:posOffset>
            </wp:positionV>
            <wp:extent cx="7512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hanging="421"/>
        <w:spacing w:after="0"/>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historical consolidated revenues and expenses of the Disposed Group as if the disposition had occurred on July 1, 2021.</w:t>
      </w:r>
    </w:p>
    <w:p>
      <w:pPr>
        <w:spacing w:after="0" w:line="1" w:lineRule="exact"/>
        <w:rPr>
          <w:rFonts w:ascii="Times New Roman" w:cs="Times New Roman" w:eastAsia="Times New Roman" w:hAnsi="Times New Roman"/>
          <w:sz w:val="14"/>
          <w:szCs w:val="14"/>
          <w:color w:val="auto"/>
        </w:rPr>
      </w:pPr>
    </w:p>
    <w:p>
      <w:pPr>
        <w:ind w:left="620" w:right="540" w:hanging="421"/>
        <w:spacing w:after="0" w:line="234" w:lineRule="auto"/>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revenues from referral services provided by QuantaSing to the Disposed Group, and the corresponding cost incurred by the Disposed Group. The VIE has been providing marketing services to the Disposed Group. See “Related Party Transaction — Transaction with Certain Related Parties” for details.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6" w:lineRule="exact"/>
        <w:rPr>
          <w:sz w:val="20"/>
          <w:szCs w:val="20"/>
          <w:color w:val="auto"/>
        </w:rPr>
      </w:pPr>
    </w:p>
    <w:p>
      <w:pPr>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We generated revenue primarily from the provision of individual online learning service to learners, and to a much lesser extent, from the provision of marketing services to enterprise customers. The following table sets forth a breakdown of our revenues by business line, both by absolute amount and as a percentage of our total revenues for the periods indicated.</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0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7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7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22"/>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4"/>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6"/>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Individual online learning services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literacy courses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1,563,607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2,300,434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323,390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65,870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personal interest courses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r>
      <w:tr>
        <w:trPr>
          <w:trHeight w:val="21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2,494,330</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350,647</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647,780</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585,085</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82,250</w:t>
            </w:r>
          </w:p>
        </w:tc>
        <w:tc>
          <w:tcPr>
            <w:tcW w:w="1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Enterprise services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800" w:type="dxa"/>
            <w:vAlign w:val="bottom"/>
          </w:tcPr>
          <w:p>
            <w:pPr>
              <w:spacing w:after="0" w:line="213" w:lineRule="exact"/>
              <w:rPr>
                <w:sz w:val="20"/>
                <w:szCs w:val="20"/>
                <w:color w:val="auto"/>
              </w:rPr>
            </w:pPr>
            <w:r>
              <w:rPr>
                <w:rFonts w:ascii="Times New Roman" w:cs="Times New Roman" w:eastAsia="Times New Roman" w:hAnsi="Times New Roman"/>
                <w:sz w:val="17"/>
                <w:szCs w:val="17"/>
                <w:b w:val="1"/>
                <w:bCs w:val="1"/>
                <w:color w:val="auto"/>
              </w:rPr>
              <w:t>Others</w:t>
            </w:r>
            <w:r>
              <w:rPr>
                <w:rFonts w:ascii="Times New Roman" w:cs="Times New Roman" w:eastAsia="Times New Roman" w:hAnsi="Times New Roman"/>
                <w:sz w:val="24"/>
                <w:szCs w:val="24"/>
                <w:b w:val="1"/>
                <w:bCs w:val="1"/>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188,133</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403,173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744,041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92,692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7" w:lineRule="exact"/>
        <w:rPr>
          <w:sz w:val="20"/>
          <w:szCs w:val="20"/>
          <w:color w:val="auto"/>
        </w:rPr>
      </w:pPr>
    </w:p>
    <w:p>
      <w:pPr>
        <w:ind w:left="620" w:right="280" w:hanging="421"/>
        <w:spacing w:after="0" w:line="252"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primarily revenues from insurance brokerage services. In early 2022, we ceased such business and disposed of it to an affiliate. For details of the transaction and pro forma impacts on our historical financial data, see “— Unaudited Pro Forma Condensed Consolidated Statement of Operations.”</w:t>
      </w:r>
    </w:p>
    <w:p>
      <w:pPr>
        <w:spacing w:after="0" w:line="171"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Our revenues from individual online learning services primarily consist of course fees we charged our learners, particularly course fees from financial literacy courses. Learners may elect to subscribe for a course package or a one-off course. We generally collect course fees in advance, which we initially record as contract liabilities. We recognize revenue from sales of our courses ratably over the longer of the corresponding contractual service period of the course and an estimated average learning time of learners ranging from one to three months, starting from the time when the courses can be accessed by learners and the payments from the learners become non-refundable. For our financial literacy courses, we generally offer learners of premium courses a full and unconditional refund within the first three months after their payment and before they unlock the courses. Our contract liabilities do not include any amount that may be refunded in the future before expiration of the full-refund period.</w:t>
      </w:r>
    </w:p>
    <w:p>
      <w:pPr>
        <w:spacing w:after="0" w:line="187" w:lineRule="exact"/>
        <w:rPr>
          <w:sz w:val="20"/>
          <w:szCs w:val="20"/>
          <w:color w:val="auto"/>
        </w:rPr>
      </w:pPr>
    </w:p>
    <w:p>
      <w:pPr>
        <w:jc w:val="both"/>
        <w:ind w:left="200" w:right="260" w:firstLine="434"/>
        <w:spacing w:after="0" w:line="261" w:lineRule="auto"/>
        <w:rPr>
          <w:sz w:val="20"/>
          <w:szCs w:val="20"/>
          <w:color w:val="auto"/>
        </w:rPr>
      </w:pPr>
      <w:r>
        <w:rPr>
          <w:rFonts w:ascii="Times New Roman" w:cs="Times New Roman" w:eastAsia="Times New Roman" w:hAnsi="Times New Roman"/>
          <w:sz w:val="18"/>
          <w:szCs w:val="18"/>
          <w:color w:val="auto"/>
        </w:rPr>
        <w:t>Our revenues from enterprise services primarily consists of leads referral fees we charge financial intermediaries for our marketing services. In June 2022, we launched enterprise talent management services and charge service fees for enterprise talent management services based on the service contents and duration. We began to recognize revenue for our enterprise talent management services from July 2022.</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2" w:right="5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Costs of revenues primarily consist of labor outsourcing cost and staff costs, and to a lesser extent, third-party service costs. The following table sets forth a breakdown of our cost of revenues by nature, both by absolute amount and as a percentage of our total cost of revenues for the periods indicated.</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640" w:type="dxa"/>
            <w:vAlign w:val="bottom"/>
            <w:gridSpan w:val="8"/>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40" w:type="dxa"/>
            <w:vAlign w:val="bottom"/>
            <w:tcBorders>
              <w:bottom w:val="single" w:sz="8" w:color="auto"/>
            </w:tcBorders>
            <w:gridSpan w:val="8"/>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0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8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80" w:type="dxa"/>
            <w:vAlign w:val="bottom"/>
            <w:tcBorders>
              <w:bottom w:val="single" w:sz="8" w:color="auto"/>
            </w:tcBorders>
          </w:tcPr>
          <w:p>
            <w:pPr>
              <w:jc w:val="right"/>
              <w:ind w:right="6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4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ind w:right="45"/>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2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65"/>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8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gridSpan w:val="9"/>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 outsourcing costs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94,736</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199,848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28,094</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Staff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149,964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23,809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Third-party service costs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Others</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13,384</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178,927</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408,757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57,462</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86,081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75,062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10,552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101600</wp:posOffset>
            </wp:positionV>
            <wp:extent cx="7512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70" w:lineRule="exact"/>
        <w:rPr>
          <w:sz w:val="20"/>
          <w:szCs w:val="20"/>
          <w:color w:val="auto"/>
        </w:rPr>
      </w:pPr>
    </w:p>
    <w:p>
      <w:pPr>
        <w:ind w:left="620" w:hanging="421"/>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primarily general office expenses, tax and surcharges, and depreciation and amortization expenses.</w:t>
      </w:r>
    </w:p>
    <w:p>
      <w:pPr>
        <w:spacing w:after="0" w:line="202" w:lineRule="exact"/>
        <w:rPr>
          <w:sz w:val="20"/>
          <w:szCs w:val="20"/>
          <w:color w:val="auto"/>
        </w:rPr>
      </w:pPr>
    </w:p>
    <w:p>
      <w:pPr>
        <w:ind w:left="200" w:right="100" w:firstLine="434"/>
        <w:spacing w:after="0" w:line="283" w:lineRule="auto"/>
        <w:rPr>
          <w:sz w:val="20"/>
          <w:szCs w:val="20"/>
          <w:color w:val="auto"/>
        </w:rPr>
      </w:pPr>
      <w:r>
        <w:rPr>
          <w:rFonts w:ascii="Times New Roman" w:cs="Times New Roman" w:eastAsia="Times New Roman" w:hAnsi="Times New Roman"/>
          <w:sz w:val="17"/>
          <w:szCs w:val="17"/>
          <w:color w:val="auto"/>
        </w:rPr>
        <w:t>Labor outsourcing costs primarily include labor outsourcing service fees to service providers of our part-time tutors for premium courses. Staff costs primarily include salaries and benefits for our employees responsible for content development, course operations, premium course tutoring, and customer support for premium courses. Third-party service costs primarily include cloud service fees and service fees for third-party payment channels.</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6"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Our operating expenses primarily consist of sales and marketing expenses, research and development expenses, and general and administrative expenses. The following table sets forth the components of our operating expenses, both by absolute amount and as a percentage of our total operating expense for the periods indicated.</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7"/>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10"/>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40"/>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4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20" w:type="dxa"/>
            <w:vAlign w:val="bottom"/>
            <w:tcBorders>
              <w:bottom w:val="single" w:sz="8" w:color="auto"/>
            </w:tcBorders>
          </w:tcPr>
          <w:p>
            <w:pPr>
              <w:jc w:val="right"/>
              <w:ind w:right="12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6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2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106"/>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66"/>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8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82"/>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ind w:right="8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85"/>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460" w:type="dxa"/>
            <w:vAlign w:val="bottom"/>
            <w:tcBorders>
              <w:bottom w:val="single" w:sz="8" w:color="auto"/>
            </w:tcBorders>
          </w:tcPr>
          <w:p>
            <w:pPr>
              <w:jc w:val="right"/>
              <w:ind w:right="8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(in thousands,</w:t>
            </w:r>
          </w:p>
        </w:tc>
        <w:tc>
          <w:tcPr>
            <w:tcW w:w="4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except</w:t>
            </w:r>
          </w:p>
        </w:tc>
        <w:tc>
          <w:tcPr>
            <w:tcW w:w="140" w:type="dxa"/>
            <w:vAlign w:val="bottom"/>
          </w:tcPr>
          <w:p>
            <w:pPr>
              <w:spacing w:after="0"/>
              <w:rPr>
                <w:sz w:val="13"/>
                <w:szCs w:val="13"/>
                <w:color w:val="auto"/>
              </w:rPr>
            </w:pPr>
          </w:p>
        </w:tc>
        <w:tc>
          <w:tcPr>
            <w:tcW w:w="7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76"/>
              </w:rPr>
              <w:t>for percentages)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1,694,941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2,254,459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316,927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670,172</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581,158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81,698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116,265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100,341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166,650</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30,328</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44,390</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1,911,547</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2,694,593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378,800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742,476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677,849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95,290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0" w:right="24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primarily include (1) marketing and advertising fees paid to third-party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media platforms to attract new users and promote our brands, and (2) compensation for our sales and marketing personnel, which includes the teaching staff for our introductory courses.</w:t>
      </w:r>
    </w:p>
    <w:p>
      <w:pPr>
        <w:spacing w:after="0" w:line="173" w:lineRule="exact"/>
        <w:rPr>
          <w:sz w:val="20"/>
          <w:szCs w:val="20"/>
          <w:color w:val="auto"/>
        </w:rPr>
      </w:pPr>
    </w:p>
    <w:p>
      <w:pPr>
        <w:ind w:left="200" w:right="32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primarily include (1) compensation for our R&amp;D personnel,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professional service fees, including those incurred in the procurement of relevant technological infrastructure for R&amp;D purposes.</w:t>
      </w:r>
    </w:p>
    <w:p>
      <w:pPr>
        <w:spacing w:after="0" w:line="160" w:lineRule="exact"/>
        <w:rPr>
          <w:sz w:val="20"/>
          <w:szCs w:val="20"/>
          <w:color w:val="auto"/>
        </w:rPr>
      </w:pPr>
    </w:p>
    <w:p>
      <w:pPr>
        <w:ind w:left="200" w:right="6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primarily include (1) compensation for our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(2) professional service fees, including legal fees, audit fees,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60"/>
          </w:cols>
          <w:pgMar w:left="320" w:top="452"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consulting fees and recruitment fees, and (3) office expenses incurred in the ordinary course of our administrative activities.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QuantaSing Group Limited, our ultimate holding company, was incorporated in the Cayman Islands. The Cayman Islands currently levies no taxes on individuals or corporations based upon profits, income, gains or appreciation, and there is no taxation in the nature of inheritance tax or estate duty. There are no other taxes levied by the Cayman Islands government that are likely to be material to us,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5"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Hundreds of Mountains Limited is our subsidiary incorporated in the British Virgin Islands (the “BVI”). All dividends, interest, rents, royalties, compensation and other amounts paid by such entity to persons who are not resident in the BVI and any capital gains realized with respect to any shares, debt obligations, or other securities of such entities by persons who are not resident in the BVI are exempt from all provisions of the Income Tax Ordinance in the BVI.</w:t>
      </w:r>
    </w:p>
    <w:p>
      <w:pPr>
        <w:spacing w:after="0" w:line="181" w:lineRule="exact"/>
        <w:rPr>
          <w:sz w:val="20"/>
          <w:szCs w:val="20"/>
          <w:color w:val="auto"/>
        </w:rPr>
      </w:pPr>
    </w:p>
    <w:p>
      <w:pPr>
        <w:ind w:left="200" w:right="100" w:firstLine="434"/>
        <w:spacing w:after="0" w:line="275" w:lineRule="auto"/>
        <w:rPr>
          <w:sz w:val="20"/>
          <w:szCs w:val="20"/>
          <w:color w:val="auto"/>
        </w:rPr>
      </w:pPr>
      <w:r>
        <w:rPr>
          <w:rFonts w:ascii="Times New Roman" w:cs="Times New Roman" w:eastAsia="Times New Roman" w:hAnsi="Times New Roman"/>
          <w:sz w:val="18"/>
          <w:szCs w:val="18"/>
          <w:color w:val="auto"/>
        </w:rPr>
        <w:t>No estate, inheritance, succession or gift tax, rate, duty, levy or other charge is payable by persons who are not resident in the BVI with respect to any shares, debt obligation or other securities of our subsidiary incorporated in the BVI.</w:t>
      </w:r>
    </w:p>
    <w:p>
      <w:pPr>
        <w:spacing w:after="0" w:line="164"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All instruments relating to transfers of property to or by such entity and all instruments relating to transactions in respect of the shares, debt obligations or other securities of our subsidiary incorporated in the BVI and all instruments relating to other transactions relating to the business of such entity are exempt from payment of stamp duty in the BVI. This assumes that our subsidiary incorporated in the BVI do not hold an interest in real estate in the BVI.</w:t>
      </w:r>
    </w:p>
    <w:p>
      <w:pPr>
        <w:spacing w:after="0" w:line="181" w:lineRule="exact"/>
        <w:rPr>
          <w:sz w:val="20"/>
          <w:szCs w:val="20"/>
          <w:color w:val="auto"/>
        </w:rPr>
      </w:pPr>
    </w:p>
    <w:p>
      <w:pPr>
        <w:ind w:left="200" w:right="140" w:firstLine="434"/>
        <w:spacing w:after="0" w:line="275" w:lineRule="auto"/>
        <w:rPr>
          <w:sz w:val="20"/>
          <w:szCs w:val="20"/>
          <w:color w:val="auto"/>
        </w:rPr>
      </w:pPr>
      <w:r>
        <w:rPr>
          <w:rFonts w:ascii="Times New Roman" w:cs="Times New Roman" w:eastAsia="Times New Roman" w:hAnsi="Times New Roman"/>
          <w:sz w:val="18"/>
          <w:szCs w:val="18"/>
          <w:color w:val="auto"/>
        </w:rPr>
        <w:t>There are currently no withholding taxes or exchange control regulations in the BVI applicable to our subsidiary incorporated in the BVI or their shareholders.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6"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Witty Digital Technology Limited is our subsidiary incorporated in Hong Kong. Since the two-tiered profits tax regime took effect on April 1, 2018, the applicable Hong Kong profits tax rate has been 8.25% for assessable profits on the first HK$2 million and 16.5% for any assessable profits in excess of HK$2.0 million. During the fiscal years ended June 30, 2021 and 2022 and the three months ended September 30, 2022, Hong Kong profits tax was not incurred, as there were no taxable profits derived from Hong Kong.</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16" w:lineRule="exact"/>
        <w:rPr>
          <w:sz w:val="20"/>
          <w:szCs w:val="20"/>
          <w:color w:val="auto"/>
        </w:rPr>
      </w:pPr>
    </w:p>
    <w:p>
      <w:pPr>
        <w:ind w:left="200" w:right="300" w:firstLine="434"/>
        <w:spacing w:after="0" w:line="275" w:lineRule="auto"/>
        <w:rPr>
          <w:sz w:val="20"/>
          <w:szCs w:val="20"/>
          <w:color w:val="auto"/>
        </w:rPr>
      </w:pPr>
      <w:r>
        <w:rPr>
          <w:rFonts w:ascii="Times New Roman" w:cs="Times New Roman" w:eastAsia="Times New Roman" w:hAnsi="Times New Roman"/>
          <w:sz w:val="18"/>
          <w:szCs w:val="18"/>
          <w:color w:val="auto"/>
        </w:rPr>
        <w:t>We operate our business through our WFOE and the VIE and its subsidiaries, which were all incorporated in China. Under the PRC Enterprise Income Tax Law (“EIT Law”), the standard enterprise income tax rate is 25%.</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40"/>
          </w:cols>
          <w:pgMar w:left="320" w:top="452" w:right="5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360"/>
        <w:spacing w:after="0" w:line="261" w:lineRule="auto"/>
        <w:rPr>
          <w:sz w:val="20"/>
          <w:szCs w:val="20"/>
          <w:color w:val="auto"/>
        </w:rPr>
      </w:pPr>
      <w:r>
        <w:rPr>
          <w:rFonts w:ascii="Times New Roman" w:cs="Times New Roman" w:eastAsia="Times New Roman" w:hAnsi="Times New Roman"/>
          <w:sz w:val="18"/>
          <w:szCs w:val="18"/>
          <w:color w:val="auto"/>
        </w:rPr>
        <w:t>Entities qualifying as High and New Technology Enterprises (“HNTE”) qualify for a preferential tax rate of 15%, subject to a requirement that they re-apply for HNTE status every three years. Beijing Feierlai was qualified as an HNTE in the calendar year of 2020 and is eligible for a preferential enterprise income tax rate of 15% as an HNTE in the calendar year of 2020.</w:t>
      </w:r>
    </w:p>
    <w:p>
      <w:pPr>
        <w:spacing w:after="0" w:line="176"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China be treated as a resident enterprise for PRC tax purposes and consequently be subject to the PRC income tax at the rate of 25% for its global income. The implementing rules of the EIT Law merely define the term of the “de facto management body” as “the body that exercises full and substantial control and overall management over the business, productions, personnel, accounts and properties of an enterprise.” Should we be treated as a resident enterprise for PRC tax purposes, we will be subject to PRC income tax on worldwide income at a uniform tax rate of 25%.</w:t>
      </w:r>
    </w:p>
    <w:p>
      <w:pPr>
        <w:spacing w:after="0" w:line="185"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EIT law and its implementation rules also impose a withholding income tax of 10% on dividends distributed by a foreign investment enterprise to its immediate holding company outside China, if such immediate holding company is considered as a non-resident enterprise without any establishment or place within China or if the dividends received have no connection with the establishment or place of such immediate holding company within China, unless such immediate holding company’s jurisdiction of incorporation has a tax treaty with China that provides for a different withholding arrangement. The Cayman Islands, where our ultimate holding company was incorporated, does not have such tax treaty with China. According to the Arrangement between Mainland China and Hong Kong Special Administrative Region on the Avoidance of Double Taxation and Prevention of Fiscal Evasion in August 2006, dividends paid by a foreign investment enterprise in China to its immediate holding company in Hong Kong will be subject to withholding tax at a rate of no more than 5% if all the requirements are satisfied. We did not record any dividend withholding tax, as our WFOE, which is a foreign investment enterprise, did not have any retained earnings in any of the periods presented.</w:t>
      </w:r>
    </w:p>
    <w:p>
      <w:pPr>
        <w:spacing w:after="0" w:line="187"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To the extent that our subsidiaries and the affiliated entities have undistributed earnings, we will accrue appropriate expected withholding tax associated with repatriation of such undistributed earnings. As of June 30, 2021 and 2022 and September 30, 2022, we did not record any withholding tax as the PRC entities were still in accumulated deficit position.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40"/>
          </w:cols>
          <w:pgMar w:left="320" w:top="452"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for the periods presented. This information should be read together with our consolidated financial statements and related notes included elsewhere in this prospectus. Our results of operations in any particular period are not necessarily indicative of our future trends.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260" w:type="dxa"/>
            <w:vAlign w:val="bottom"/>
            <w:gridSpan w:val="6"/>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28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60" w:type="dxa"/>
            <w:vAlign w:val="bottom"/>
            <w:gridSpan w:val="6"/>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Borders>
              <w:top w:val="single" w:sz="8" w:color="auto"/>
            </w:tcBorders>
          </w:tcPr>
          <w:p>
            <w:pPr>
              <w:jc w:val="right"/>
              <w:ind w:right="21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17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2"/>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for</w:t>
            </w:r>
          </w:p>
        </w:tc>
        <w:tc>
          <w:tcPr>
            <w:tcW w:w="100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403,173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744,041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(178,927)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(408,757)</w:t>
            </w:r>
          </w:p>
        </w:tc>
        <w:tc>
          <w:tcPr>
            <w:tcW w:w="100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(57,462)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(86,081)</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(75,062)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1,581,013</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2,459,217</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345,711</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584,304</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(1,694,941)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(2,254,459)</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(316,927)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(670,172)</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(581,158)</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(116,265)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(273,484)</w:t>
            </w:r>
          </w:p>
        </w:tc>
        <w:tc>
          <w:tcPr>
            <w:tcW w:w="100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(38,446)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(41,976)</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(52,301)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(100,341)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(166,650)</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(23,427)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(30,328)</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(44,390)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2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(1,911,547)</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(2,694,593)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(378,800)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(677,849)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(330,534)</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(235,376)</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(33,089)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(84,516)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(93,545)</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(13,150)</w:t>
            </w:r>
          </w:p>
        </w:tc>
        <w:tc>
          <w:tcPr>
            <w:tcW w:w="0" w:type="dxa"/>
            <w:vAlign w:val="bottom"/>
          </w:tcPr>
          <w:p>
            <w:pPr>
              <w:spacing w:after="0"/>
              <w:rPr>
                <w:sz w:val="1"/>
                <w:szCs w:val="1"/>
                <w:color w:val="auto"/>
              </w:rPr>
            </w:pPr>
          </w:p>
        </w:tc>
      </w:tr>
      <w:tr>
        <w:trPr>
          <w:trHeight w:val="21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incomes, net:</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(315,000)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(215,076)</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(30,236)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(78,469)</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(86,903)</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(18,350)</w:t>
            </w:r>
          </w:p>
        </w:tc>
        <w:tc>
          <w:tcPr>
            <w:tcW w:w="100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(2,580)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(10,375)</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(32,816)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(77,927)</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(97,278)</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(231,587)</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(32,557)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(77,723)</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(95,152)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(13,375)</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0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(0.74)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00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(0.74)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b w:val="1"/>
                <w:bCs w:val="1"/>
                <w:color w:val="auto"/>
              </w:rPr>
              <w:t>Non-GAAP financial measures</w:t>
            </w:r>
            <w:r>
              <w:rPr>
                <w:rFonts w:ascii="Times New Roman" w:cs="Times New Roman" w:eastAsia="Times New Roman" w:hAnsi="Times New Roman"/>
                <w:sz w:val="24"/>
                <w:szCs w:val="24"/>
                <w:b w:val="1"/>
                <w:bCs w:val="1"/>
                <w:color w:val="auto"/>
                <w:vertAlign w:val="superscript"/>
              </w:rPr>
              <w:t>(1)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billings of individual online learning services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2,045,203</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2,758,236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387,747</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664,927</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(loss)/profit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(214,207)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(48,794)</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(50,908)</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101600</wp:posOffset>
            </wp:positionV>
            <wp:extent cx="7512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70" w:lineRule="exact"/>
        <w:rPr>
          <w:sz w:val="20"/>
          <w:szCs w:val="20"/>
          <w:color w:val="auto"/>
        </w:rPr>
      </w:pPr>
    </w:p>
    <w:p>
      <w:pPr>
        <w:ind w:left="620" w:hanging="421"/>
        <w:spacing w:after="0"/>
        <w:tabs>
          <w:tab w:leader="none" w:pos="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 — Non-GAAP Financial Measures.”</w:t>
      </w:r>
    </w:p>
    <w:p>
      <w:pPr>
        <w:spacing w:after="0" w:line="305" w:lineRule="exact"/>
        <w:rPr>
          <w:sz w:val="20"/>
          <w:szCs w:val="20"/>
          <w:color w:val="auto"/>
        </w:rPr>
      </w:pPr>
    </w:p>
    <w:p>
      <w:pPr>
        <w:ind w:left="200" w:right="3980"/>
        <w:spacing w:after="0" w:line="3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September 30, 2022 compared to three months ended September 30, 2021 </w:t>
      </w:r>
      <w:r>
        <w:rPr>
          <w:rFonts w:ascii="Times New Roman" w:cs="Times New Roman" w:eastAsia="Times New Roman" w:hAnsi="Times New Roman"/>
          <w:sz w:val="18"/>
          <w:szCs w:val="18"/>
          <w:i w:val="1"/>
          <w:iCs w:val="1"/>
          <w:color w:val="auto"/>
        </w:rPr>
        <w:t>Revenues</w:t>
      </w:r>
    </w:p>
    <w:p>
      <w:pPr>
        <w:spacing w:after="0" w:line="1"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Our revenues decreased by 11.4% from RMB744.0 million for the three months ended September 30, 2021 to RMB659.4 million (US$92.7 million) for the three months ended September 30, 2022, primarily due to the decrease in revenues from our financial literacy courses and other services, partially offset by the increase in revenues from other personal interest courses and enterprise services.</w:t>
      </w:r>
    </w:p>
    <w:p>
      <w:pPr>
        <w:spacing w:after="0" w:line="81" w:lineRule="exact"/>
        <w:rPr>
          <w:sz w:val="20"/>
          <w:szCs w:val="20"/>
          <w:color w:val="auto"/>
        </w:rPr>
      </w:pPr>
    </w:p>
    <w:p>
      <w:pPr>
        <w:ind w:left="1160" w:right="280" w:hanging="429"/>
        <w:spacing w:after="0" w:line="262"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Revenues from individual online learning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revenues from individual online learning services decreased by 9.7%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RMB647.8 million for the three months ended September 30, 2021 to RMB585.1 million (US$82.3 million) for the three months ended September 30, 2022, primarily due to</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60"/>
          </w:cols>
          <w:pgMar w:left="320" w:top="452"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spacing w:after="0" w:line="265" w:lineRule="auto"/>
        <w:rPr>
          <w:sz w:val="20"/>
          <w:szCs w:val="20"/>
          <w:color w:val="auto"/>
        </w:rPr>
      </w:pPr>
      <w:r>
        <w:rPr>
          <w:rFonts w:ascii="Times New Roman" w:cs="Times New Roman" w:eastAsia="Times New Roman" w:hAnsi="Times New Roman"/>
          <w:sz w:val="17"/>
          <w:szCs w:val="17"/>
          <w:color w:val="auto"/>
        </w:rPr>
        <w:t>a 26.9% decrease in revenues from our financial literacy courses of RMB172.5 million (US$24.3 million), partially offset by the significant increase in revenues from our other personal interest courses of RMB109.8 million (US$15.4 million). The decrease in revenues from financial literacy courses was primarily due to a decrease in our paying learners for financial literacy courses, as a result of our effort to diversify our course offerings by allocating an increasing portion of marketing and corporate resources to the promotion of various subjects of courses in the ramp-up stage, in addition to our flagship financial literacy courses, partially offset by the contribution in revenue from an increase in the repeat purchase rate for financial literacy courses. Specifically, the number of paying learners for our financial literacy courses decreased from approximately 294,000 for the three months ended September 30, 2021 to approximately 227,000 for the three months ended September 30, 2022, which we estimate contributed to a decrease in gross billings of approximately RMB348.4 million (US$49.0 million), assuming the repurchase rate remains the same between the two periods; and the repeat purchase rate for our financial literacy courses increased from 43.0% for the three months ended September 30, 2021 to 60.0% for the three months ended September 30, 2022, which we estimate contributed to an increase of gross billings in approximately RMB53.1 million (US$7.5 million), calculated by multiplying the related gross billings by the difference in the repurchase rates between the two periods.</w:t>
      </w:r>
    </w:p>
    <w:p>
      <w:pPr>
        <w:spacing w:after="0" w:line="69" w:lineRule="exact"/>
        <w:rPr>
          <w:sz w:val="20"/>
          <w:szCs w:val="20"/>
          <w:color w:val="auto"/>
        </w:rPr>
      </w:pPr>
    </w:p>
    <w:p>
      <w:pPr>
        <w:ind w:left="1180" w:right="160"/>
        <w:spacing w:after="0" w:line="261" w:lineRule="auto"/>
        <w:rPr>
          <w:sz w:val="20"/>
          <w:szCs w:val="20"/>
          <w:color w:val="auto"/>
        </w:rPr>
      </w:pPr>
      <w:r>
        <w:rPr>
          <w:rFonts w:ascii="Times New Roman" w:cs="Times New Roman" w:eastAsia="Times New Roman" w:hAnsi="Times New Roman"/>
          <w:sz w:val="18"/>
          <w:szCs w:val="18"/>
          <w:color w:val="auto"/>
        </w:rPr>
        <w:t>We began to provide other personal interest courses in the second half of calendar year 2021 and experienced significant growth in the number of paying learners for the three months ended September 30, 2022 compared with that for the three months ended September 30, 2021 at the time of launch.</w:t>
      </w:r>
    </w:p>
    <w:p>
      <w:pPr>
        <w:spacing w:after="0" w:line="69" w:lineRule="exact"/>
        <w:rPr>
          <w:sz w:val="20"/>
          <w:szCs w:val="20"/>
          <w:color w:val="auto"/>
        </w:rPr>
      </w:pPr>
    </w:p>
    <w:p>
      <w:pPr>
        <w:ind w:left="1180" w:right="100"/>
        <w:spacing w:after="0" w:line="252" w:lineRule="auto"/>
        <w:rPr>
          <w:sz w:val="20"/>
          <w:szCs w:val="20"/>
          <w:color w:val="auto"/>
        </w:rPr>
      </w:pPr>
      <w:r>
        <w:rPr>
          <w:rFonts w:ascii="Times New Roman" w:cs="Times New Roman" w:eastAsia="Times New Roman" w:hAnsi="Times New Roman"/>
          <w:sz w:val="18"/>
          <w:szCs w:val="18"/>
          <w:color w:val="auto"/>
        </w:rPr>
        <w:t>As we continue to diversify our course offerings and allocate our marketing and corporate resources among various subjects of courses, especially other personal interest courses, the dollar amount and/or proportion of such resources devoted to financial literacy courses may continue to decline, which may negatively affect the revenues generated from our financial literacy courses and its growth rate in the future.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be adversely affected.</w:t>
      </w:r>
    </w:p>
    <w:p>
      <w:pPr>
        <w:spacing w:after="0" w:line="90" w:lineRule="exact"/>
        <w:rPr>
          <w:sz w:val="20"/>
          <w:szCs w:val="20"/>
          <w:color w:val="auto"/>
        </w:rPr>
      </w:pPr>
    </w:p>
    <w:p>
      <w:pPr>
        <w:ind w:left="1160" w:hanging="429"/>
        <w:spacing w:after="0" w:line="257" w:lineRule="auto"/>
        <w:tabs>
          <w:tab w:leader="none" w:pos="1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Revenues from enterprise services</w:t>
      </w:r>
      <w:r>
        <w:rPr>
          <w:rFonts w:ascii="Times New Roman" w:cs="Times New Roman" w:eastAsia="Times New Roman" w:hAnsi="Times New Roman"/>
          <w:sz w:val="18"/>
          <w:szCs w:val="18"/>
          <w:color w:val="auto"/>
        </w:rPr>
        <w:t>. Our revenues from enterprise services increased by 72.9% from RMB42.6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to RMB73.6 million (US$10.3 million) for the three months ended September 30, 2022, primarily due to the growth of our marketing services as we continued to leverage from our expanding learner base. We also began to recognize revenue for our enterprise talent management services from July 2022.</w:t>
      </w:r>
    </w:p>
    <w:p>
      <w:pPr>
        <w:spacing w:after="0" w:line="84" w:lineRule="exact"/>
        <w:rPr>
          <w:rFonts w:ascii="Times New Roman" w:cs="Times New Roman" w:eastAsia="Times New Roman" w:hAnsi="Times New Roman"/>
          <w:sz w:val="18"/>
          <w:szCs w:val="18"/>
          <w:color w:val="auto"/>
        </w:rPr>
      </w:pPr>
    </w:p>
    <w:p>
      <w:pPr>
        <w:ind w:left="1160" w:right="40" w:hanging="429"/>
        <w:spacing w:after="0" w:line="254" w:lineRule="auto"/>
        <w:tabs>
          <w:tab w:leader="none" w:pos="1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Revenues from other services</w:t>
      </w:r>
      <w:r>
        <w:rPr>
          <w:rFonts w:ascii="Times New Roman" w:cs="Times New Roman" w:eastAsia="Times New Roman" w:hAnsi="Times New Roman"/>
          <w:sz w:val="18"/>
          <w:szCs w:val="18"/>
          <w:color w:val="auto"/>
        </w:rPr>
        <w:t>. Our revenues from other services decreased significantly from RMB53.7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to RMB0.7 million (US$0.1 million) for the three months ended September 30, 2022, primarily due to the decrease in revenues from insurance brokerage services. In early 2022, we ceased such business and disposed of it to an affiliate. For details of the transaction and pro forma impacts on our historical financial data, see “— Unaudited Pro Forma Condensed Consolidated Statement of Operations.”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4" w:lineRule="exact"/>
        <w:rPr>
          <w:sz w:val="20"/>
          <w:szCs w:val="20"/>
          <w:color w:val="auto"/>
        </w:rPr>
      </w:pPr>
    </w:p>
    <w:p>
      <w:pPr>
        <w:jc w:val="both"/>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Our cost of revenues decreased by 12.8% from RMB86.1 million for the three months ended September 30, 2021 to RMB75.1 million (US$10.6 million) for the three months ended September 30, 2022, primarily due to an decrease in labor outsourcing costs of RMB15.5 million (US$2.2 million), as we improved our efficiency in utilizing the relevant labor outsourcing services for our premium courses, partially offset by an increase in staff costs of RMB6.7 million (US$0.9 million), as a result of the increase in the relevant employee headcount due to our new initiatives in other personal interest courses and an increase in the share-based compensation of RMB1.5 million (US$0.2 million).</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52" w:right="5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4"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gross profit decreased by 11.2% from RMB658.0 million for the three months ended September 30, 2021 to RMB584.3 million (US$82.1 million) for the three months ended September 30, 2022. Our gross profit margin remained relatively stable at 88.4% and 88.6% for the three months ended September 30, 2021 and 2022, respectively.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4"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decreased by 13.3% from RMB670.2 million for the three months ended September 30, 2021 to RMB581.2 million (US$81.7 million) for the three months ended September 30, 2022. This decrease was primarily due to a decrease in marketing and promotion expenses of RMB82.0 million (US$11.5 million), as we improved the efficiency of marketing and promotion activities.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4"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24.6% from RMB42.0 million for the three months ended September 30, 2021 to RMB52.3 million (US$7.4 million) for the three months ended September 30, 2022, primarily due to a significant increase in compensation for our R&amp;D personnel of RMB11.5 million (US$1.6 million) as a result of the increase in (1) the headcount of such personnel in line with our increasing R&amp;D efforts and (2) an increase in share-based compensation of RMB3.3 million (US$0.5 million).</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increased by 46.4% from RMB30.3 million for the three months ended September 30, 2021 to RMB44.4 million (US$6.2 million) for the three months ended September 30, 2022, primarily due to (1) an increase in staff costs of RMB10.7 million (US$1.5 million) as a result of the increase in the share-based compensation to our general and administrative personnel of RMB9.9 million (US$1.4 million), and (2) an increase in professional expenses of RMB2.2 million (US$0.3 million), as a result of the increase in the professional service fees in relation to our listing activities.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14" w:lineRule="exact"/>
        <w:rPr>
          <w:sz w:val="20"/>
          <w:szCs w:val="20"/>
          <w:color w:val="auto"/>
        </w:rPr>
      </w:pPr>
    </w:p>
    <w:p>
      <w:pPr>
        <w:ind w:left="200" w:right="540" w:firstLine="434"/>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recorded a loss from operations of RMB84.5 million and RMB93.5 million (US$13.2 million) for the three months ended September 30, 2021 and 2022, respectively.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Others, net</w:t>
      </w:r>
    </w:p>
    <w:p>
      <w:pPr>
        <w:spacing w:after="0" w:line="114" w:lineRule="exact"/>
        <w:rPr>
          <w:sz w:val="20"/>
          <w:szCs w:val="20"/>
          <w:color w:val="auto"/>
        </w:rPr>
      </w:pPr>
    </w:p>
    <w:p>
      <w:pPr>
        <w:ind w:left="200" w:right="60" w:firstLine="434"/>
        <w:spacing w:after="0" w:line="275" w:lineRule="auto"/>
        <w:rPr>
          <w:sz w:val="20"/>
          <w:szCs w:val="20"/>
          <w:color w:val="auto"/>
        </w:rPr>
      </w:pPr>
      <w:r>
        <w:rPr>
          <w:rFonts w:ascii="Times New Roman" w:cs="Times New Roman" w:eastAsia="Times New Roman" w:hAnsi="Times New Roman"/>
          <w:sz w:val="18"/>
          <w:szCs w:val="18"/>
          <w:color w:val="auto"/>
        </w:rPr>
        <w:t>We recognized other income/gains, net of RMB6.0 million and RMB6.5 million (US$0.9 million) for the three months ended September 30, 2021 and 2022, respectively.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4" w:lineRule="exact"/>
        <w:rPr>
          <w:sz w:val="20"/>
          <w:szCs w:val="20"/>
          <w:color w:val="auto"/>
        </w:rPr>
      </w:pPr>
    </w:p>
    <w:p>
      <w:pPr>
        <w:ind w:left="200" w:right="100" w:firstLine="434"/>
        <w:spacing w:after="0" w:line="275" w:lineRule="auto"/>
        <w:rPr>
          <w:sz w:val="20"/>
          <w:szCs w:val="20"/>
          <w:color w:val="auto"/>
        </w:rPr>
      </w:pPr>
      <w:r>
        <w:rPr>
          <w:rFonts w:ascii="Times New Roman" w:cs="Times New Roman" w:eastAsia="Times New Roman" w:hAnsi="Times New Roman"/>
          <w:sz w:val="18"/>
          <w:szCs w:val="18"/>
          <w:color w:val="auto"/>
        </w:rPr>
        <w:t>We recorded income tax benefit of RMB0.5 million for the three months ended September 30, 2021 and income tax expense of RMB10.4 million (US$1.5 million) for the three months ended September 30, 2022, primarily due to the increase in our taxable income.</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4" w:lineRule="exact"/>
        <w:rPr>
          <w:sz w:val="20"/>
          <w:szCs w:val="20"/>
          <w:color w:val="auto"/>
        </w:rPr>
      </w:pPr>
    </w:p>
    <w:p>
      <w:pPr>
        <w:ind w:left="200" w:right="540" w:firstLine="434"/>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recorded net loss of RMB77.9 million and RMB97.3 million (US$13.7 million) for the three months ended September 30, 2021 and 2022, respectively.</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40"/>
          </w:cols>
          <w:pgMar w:left="320" w:top="452" w:right="5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right="5140"/>
        <w:spacing w:after="0" w:line="3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ended June 30, 2022 compared to fiscal year ended June 30, 2021 </w:t>
      </w:r>
      <w:r>
        <w:rPr>
          <w:rFonts w:ascii="Times New Roman" w:cs="Times New Roman" w:eastAsia="Times New Roman" w:hAnsi="Times New Roman"/>
          <w:sz w:val="18"/>
          <w:szCs w:val="18"/>
          <w:i w:val="1"/>
          <w:iCs w:val="1"/>
          <w:color w:val="auto"/>
        </w:rPr>
        <w:t>Revenues</w:t>
      </w:r>
    </w:p>
    <w:p>
      <w:pPr>
        <w:spacing w:after="0" w:line="1" w:lineRule="exact"/>
        <w:rPr>
          <w:sz w:val="20"/>
          <w:szCs w:val="20"/>
          <w:color w:val="auto"/>
        </w:rPr>
      </w:pPr>
    </w:p>
    <w:p>
      <w:pPr>
        <w:ind w:left="200" w:right="140" w:firstLine="434"/>
        <w:spacing w:after="0" w:line="275" w:lineRule="auto"/>
        <w:rPr>
          <w:sz w:val="20"/>
          <w:szCs w:val="20"/>
          <w:color w:val="auto"/>
        </w:rPr>
      </w:pPr>
      <w:r>
        <w:rPr>
          <w:rFonts w:ascii="Times New Roman" w:cs="Times New Roman" w:eastAsia="Times New Roman" w:hAnsi="Times New Roman"/>
          <w:sz w:val="18"/>
          <w:szCs w:val="18"/>
          <w:color w:val="auto"/>
        </w:rPr>
        <w:t>Our revenues increased by 63.0% from RMB1,759.9 million for the fiscal year ended June 30, 2021 to RMB2,868.0 million (US$403.2 million) for the fiscal year ended June 30, 2022, primarily due to the increase in revenues from individual online learning services.</w:t>
      </w:r>
    </w:p>
    <w:p>
      <w:pPr>
        <w:spacing w:after="0" w:line="69" w:lineRule="exact"/>
        <w:rPr>
          <w:sz w:val="20"/>
          <w:szCs w:val="20"/>
          <w:color w:val="auto"/>
        </w:rPr>
      </w:pPr>
    </w:p>
    <w:p>
      <w:pPr>
        <w:ind w:left="1160" w:right="20" w:hanging="429"/>
        <w:spacing w:after="0" w:line="249" w:lineRule="auto"/>
        <w:tabs>
          <w:tab w:leader="none" w:pos="1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Revenues from individual online learning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revenues from individual online learning services increased by 59.5%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RMB1,563.6 million for the fiscal year ended June 30, 2021 to RMB2,494.3 million (US$350.6 million) for the fiscal year ended June 30, 2022, primarily due to a 47.1% increase in revenues from our financial literacy courses of RMB736.8 million (US$103.6 million) and an increase in revenues from other personal interest courses of RMB193.9 million (US$27.3 million) for the fiscal year ended June 30, 2022. This increase was primarily driven by (1) the increase in the average price of our premium financial literacy courses; and (2) the increase in the learner base for our premium financial literacy courses, primarily due to the increase in the market demand for our online financial literacy courses. For instance, the paying learners for our financial literacy courses increased from approximately 0.8 million for the fiscal year ended June 30, 2021 to 1.0 million for the fiscal year ended June 30, 2022. In addition, we also increase the price level of our premium financial literacy courses from time to time. For instance, the price levels of one of our most popular intermediate-level financial literacy course packages and one of our most popular advance-level financial literacy course packages increased by 3.5% and 13.8% in mid 2021, respectively. Our revenue growth from individual online learning services was also attributable to the launch of our other personal interest courses. We began to provide other personal interest courses in the second half of calendar 2021 and recognized revenues of RMB193.9 million (US$27.3 million) for the fiscal year ended June 30, 2022.</w:t>
      </w:r>
    </w:p>
    <w:p>
      <w:pPr>
        <w:spacing w:after="0" w:line="93" w:lineRule="exact"/>
        <w:rPr>
          <w:rFonts w:ascii="Times New Roman" w:cs="Times New Roman" w:eastAsia="Times New Roman" w:hAnsi="Times New Roman"/>
          <w:sz w:val="18"/>
          <w:szCs w:val="18"/>
          <w:color w:val="auto"/>
        </w:rPr>
      </w:pPr>
    </w:p>
    <w:p>
      <w:pPr>
        <w:jc w:val="both"/>
        <w:ind w:left="1160" w:right="140" w:hanging="429"/>
        <w:spacing w:after="0" w:line="276" w:lineRule="auto"/>
        <w:tabs>
          <w:tab w:leader="none" w:pos="11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Revenues from enterprise services</w:t>
      </w:r>
      <w:r>
        <w:rPr>
          <w:rFonts w:ascii="Times New Roman" w:cs="Times New Roman" w:eastAsia="Times New Roman" w:hAnsi="Times New Roman"/>
          <w:sz w:val="17"/>
          <w:szCs w:val="17"/>
          <w:color w:val="auto"/>
        </w:rPr>
        <w:t>. Our revenues from enterprise services increased by 28.6% from RMB144.3 million for the fiscal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2021 to RMB185.5 million (US$26.1 million) for the fiscal year ended June 30, 2022, primarily due to the growth of our marketing services for enterprises as a result of the growth of our individual online learning services and the increase in our learner base. We launched our enterprise talent management services in June 2022 and expect to recognize revenue for such services from July 2022.</w:t>
      </w:r>
    </w:p>
    <w:p>
      <w:pPr>
        <w:spacing w:after="0" w:line="71" w:lineRule="exact"/>
        <w:rPr>
          <w:rFonts w:ascii="Times New Roman" w:cs="Times New Roman" w:eastAsia="Times New Roman" w:hAnsi="Times New Roman"/>
          <w:sz w:val="17"/>
          <w:szCs w:val="17"/>
          <w:color w:val="auto"/>
        </w:rPr>
      </w:pPr>
    </w:p>
    <w:p>
      <w:pPr>
        <w:jc w:val="both"/>
        <w:ind w:left="1160" w:right="140" w:hanging="429"/>
        <w:spacing w:after="0" w:line="276" w:lineRule="auto"/>
        <w:tabs>
          <w:tab w:leader="none" w:pos="11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Revenues from other services</w:t>
      </w:r>
      <w:r>
        <w:rPr>
          <w:rFonts w:ascii="Times New Roman" w:cs="Times New Roman" w:eastAsia="Times New Roman" w:hAnsi="Times New Roman"/>
          <w:sz w:val="17"/>
          <w:szCs w:val="17"/>
          <w:color w:val="auto"/>
        </w:rPr>
        <w:t>. Our revenues from other services increased significantly from RMB52.0 million for the fiscal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2021 to RMB188.1 million (US$26.4 million) for the fiscal year ended June 30, 2022, primarily due to the increase in revenues from insurance brokerage services. In early 2022, we ceased such business and disposed of it to an affiliate. For details of the transaction and pro forma impacts on our historical financial data, see “— Unaudited Pro Forma Condensed Consolidated Statement of Operations.”</w:t>
      </w: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Our cost of revenues increased significantly from RMB178.9 million for the fiscal year ended June 30, 2021 to RMB408.8 million (US$57.5 million) for the fiscal year ended June 30, 2022, primarily due to (1) a significant increase in labor outsourcing costs of RMB105.1 million (US$14.8 million), and (2) a significant increase in staff costs of RMB102.1 million (US$14.3 million). This increase was driven by (i) the increase in the relevant employee headcount in line with the expansion of our premium financial literacy courses and new initiatives in other personal interest courses, and (ii) their compensation level, including an increase in the share-based compensation of RMB21.3 million (US$3.0 million).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4" w:lineRule="exact"/>
        <w:rPr>
          <w:sz w:val="20"/>
          <w:szCs w:val="20"/>
          <w:color w:val="auto"/>
        </w:rPr>
      </w:pPr>
    </w:p>
    <w:p>
      <w:pPr>
        <w:ind w:left="200" w:right="920" w:firstLine="434"/>
        <w:spacing w:after="0" w:line="275"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55.5% from RMB1,581.0 million for the fiscal year ended June 30, 2021 to RMB2,459.2 million (US$345.7 million) for the fiscal year ended June 30, 2022.</w:t>
      </w:r>
    </w:p>
    <w:p>
      <w:pPr>
        <w:spacing w:after="0" w:line="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320" w:top="452" w:right="5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75" w:lineRule="auto"/>
        <w:rPr>
          <w:sz w:val="20"/>
          <w:szCs w:val="20"/>
          <w:color w:val="auto"/>
        </w:rPr>
      </w:pPr>
      <w:r>
        <w:rPr>
          <w:rFonts w:ascii="Times New Roman" w:cs="Times New Roman" w:eastAsia="Times New Roman" w:hAnsi="Times New Roman"/>
          <w:sz w:val="18"/>
          <w:szCs w:val="18"/>
          <w:color w:val="auto"/>
        </w:rPr>
        <w:t>Our gross profit margin decreased from 89.8% for the fiscal year ended June 30, 2021 to 85.7% for the fiscal year ended June 30, 2022, primarily due to the increase in our labor outsourcing costs and staff costs in line with our rapid business expansion.</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4"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Our sales and marketing expenses increased by 33.0% from RMB1,694.9 million for the fiscal year ended June 30, 2021 to RMB2,254.5 million (US$316.9 million) for the fiscal year ended June 30, 2022. This increase was primarily due to (1) a 21.8% increase in marketing and promotion expenses of RMB284.4 million (US$40.0 million) as a result of the increase in marketing and advertising fees paid to third-party social media platforms to attract new learners, which is generally in line with the business growth of our individual online learning services; and (2) an increase in the compensation for our sales and marketing personnel of RMB215.6 million (US$30.3 million), as a result of the increase in their headcount and compensation level, including an increase in the share-based compensation of RMB62.7 million (US$8.8 million).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4" w:lineRule="exact"/>
        <w:rPr>
          <w:sz w:val="20"/>
          <w:szCs w:val="20"/>
          <w:color w:val="auto"/>
        </w:rPr>
      </w:pPr>
    </w:p>
    <w:p>
      <w:pPr>
        <w:ind w:left="200" w:right="300" w:firstLine="434"/>
        <w:spacing w:after="0" w:line="276" w:lineRule="auto"/>
        <w:rPr>
          <w:sz w:val="20"/>
          <w:szCs w:val="20"/>
          <w:color w:val="auto"/>
        </w:rPr>
      </w:pPr>
      <w:r>
        <w:rPr>
          <w:rFonts w:ascii="Times New Roman" w:cs="Times New Roman" w:eastAsia="Times New Roman" w:hAnsi="Times New Roman"/>
          <w:sz w:val="17"/>
          <w:szCs w:val="17"/>
          <w:color w:val="auto"/>
        </w:rPr>
        <w:t>Our research and development expenses increased significantly from RMB116.3 million for the fiscal year ended June 30, 2021 to RMB273.5 million (US$38.4 million) for the fiscal year ended June 30, 2022, primarily due to a significant increase in compensation for our R&amp;D personnel of RMB149.2 million (US$21.0 million) as a result of the increase in (1) the headcount of such personnel in line with our increasing R&amp;D efforts and (2) their compensation level, including an increase in share-based compensation of RMB71.8 million (US$10.1 million).</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general and administrative expenses increased by 66.1% from RMB100.3 million for the fiscal year ended June 30, 2021 to</w:t>
      </w:r>
    </w:p>
    <w:p>
      <w:pPr>
        <w:spacing w:after="0" w:line="25" w:lineRule="exact"/>
        <w:rPr>
          <w:sz w:val="20"/>
          <w:szCs w:val="20"/>
          <w:color w:val="auto"/>
        </w:rPr>
      </w:pPr>
    </w:p>
    <w:p>
      <w:pPr>
        <w:ind w:left="200" w:right="60"/>
        <w:spacing w:after="0" w:line="248" w:lineRule="auto"/>
        <w:rPr>
          <w:sz w:val="20"/>
          <w:szCs w:val="20"/>
          <w:color w:val="auto"/>
        </w:rPr>
      </w:pPr>
      <w:r>
        <w:rPr>
          <w:rFonts w:ascii="Times New Roman" w:cs="Times New Roman" w:eastAsia="Times New Roman" w:hAnsi="Times New Roman"/>
          <w:sz w:val="18"/>
          <w:szCs w:val="18"/>
          <w:color w:val="auto"/>
        </w:rPr>
        <w:t>RMB166.7 million (US$23.4 million) for the fiscal year ended June 30, 2022, primarily due to (1) a 92.9% increase in the compensation for our general and administrative personnel of RMB46.5 million (US$6.5 million), as a result of the increase in their headcount and compensation level, including an increase in the share-based compensation of RMB33.7 million (US$4.7 million); and (2) an increase in office expenses of RMB10.4 million (US$1.5 million) due to our growing operational needs.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14" w:lineRule="exact"/>
        <w:rPr>
          <w:sz w:val="20"/>
          <w:szCs w:val="20"/>
          <w:color w:val="auto"/>
        </w:rPr>
      </w:pPr>
    </w:p>
    <w:p>
      <w:pPr>
        <w:ind w:left="200" w:right="320" w:firstLine="434"/>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recorded a loss from operations of RMB330.5 million and RMB235.4 million (US$33.1 million) for the fiscal years ended June 30, 2021 and 2022, respectively.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Others, net</w:t>
      </w:r>
    </w:p>
    <w:p>
      <w:pPr>
        <w:spacing w:after="0" w:line="114" w:lineRule="exact"/>
        <w:rPr>
          <w:sz w:val="20"/>
          <w:szCs w:val="20"/>
          <w:color w:val="auto"/>
        </w:rPr>
      </w:pPr>
    </w:p>
    <w:p>
      <w:pPr>
        <w:jc w:val="both"/>
        <w:ind w:left="200" w:firstLine="434"/>
        <w:spacing w:after="0" w:line="256" w:lineRule="auto"/>
        <w:rPr>
          <w:sz w:val="20"/>
          <w:szCs w:val="20"/>
          <w:color w:val="auto"/>
        </w:rPr>
      </w:pPr>
      <w:r>
        <w:rPr>
          <w:rFonts w:ascii="Times New Roman" w:cs="Times New Roman" w:eastAsia="Times New Roman" w:hAnsi="Times New Roman"/>
          <w:sz w:val="18"/>
          <w:szCs w:val="18"/>
          <w:color w:val="auto"/>
        </w:rPr>
        <w:t>We recognized other income/gains, net of RMB15.1 million and RMB19.9 million (US$2.8 million) for the fiscal years ended June 30, 2021 and 2022, respectively. The increase is primarily due to (1) an increase in fair value gains of short-term investments of RMB2.5 million (US$0.4 million), as the balance of our wealth management products increased, (2) the increase in other items of RMB5.3 million (US$0.7 million) primarily due to the super deduction of certain value-added tax, partially offset by (3) a decrease in government grants of RMB2.9 million (US$0.4 million).</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4" w:lineRule="exact"/>
        <w:rPr>
          <w:sz w:val="20"/>
          <w:szCs w:val="20"/>
          <w:color w:val="auto"/>
        </w:rPr>
      </w:pPr>
    </w:p>
    <w:p>
      <w:pPr>
        <w:ind w:left="200" w:right="520" w:firstLine="434"/>
        <w:spacing w:after="0" w:line="275" w:lineRule="auto"/>
        <w:rPr>
          <w:sz w:val="20"/>
          <w:szCs w:val="20"/>
          <w:color w:val="auto"/>
        </w:rPr>
      </w:pPr>
      <w:r>
        <w:rPr>
          <w:rFonts w:ascii="Times New Roman" w:cs="Times New Roman" w:eastAsia="Times New Roman" w:hAnsi="Times New Roman"/>
          <w:sz w:val="18"/>
          <w:szCs w:val="18"/>
          <w:color w:val="auto"/>
        </w:rPr>
        <w:t>Our income tax expense increased significantly from RMB1.0 million for the fiscal year ended June 30, 2021 to RMB18.4 million (US$2.6 million) for the fiscal year ended June 30, 2022, primarily due to the increase in our taxable income.</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40"/>
          </w:cols>
          <w:pgMar w:left="320" w:top="452"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4" w:lineRule="exact"/>
        <w:rPr>
          <w:sz w:val="20"/>
          <w:szCs w:val="20"/>
          <w:color w:val="auto"/>
        </w:rPr>
      </w:pPr>
    </w:p>
    <w:p>
      <w:pPr>
        <w:ind w:left="200" w:right="500" w:firstLine="434"/>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recorded net loss of RMB316.0 million and RMB233.4 million (US$32.8 million) for the fiscal years ended June 30, 2021 and 2022, respectively.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Selected Quarterly Results of Operations</w:t>
      </w:r>
    </w:p>
    <w:p>
      <w:pPr>
        <w:spacing w:after="0" w:line="114" w:lineRule="exact"/>
        <w:rPr>
          <w:sz w:val="20"/>
          <w:szCs w:val="20"/>
          <w:color w:val="auto"/>
        </w:rPr>
      </w:pPr>
    </w:p>
    <w:p>
      <w:pPr>
        <w:ind w:left="200" w:right="320"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our selected unaudited consolidated results of operations for each of the nine quarters from July 1, 2020 to September 30, 2022. The consolidated quarterly financial information includes all normal recurring adjustments that we consider necessary for a fair representation of our results of operations for the quarters presented. Our historical results of operations are not necessarily indicative of results of operations expected for future periods. The following selected unaudited quarterly financial data is qualified by reference to, and should be read in conjunction with, our consolidated financial statements and related notes included elsewhere in this prospectus.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gridSpan w:val="3"/>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gridSpan w:val="3"/>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gridSpan w:val="3"/>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3"/>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9"/>
                <w:szCs w:val="9"/>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7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4"/>
                <w:szCs w:val="14"/>
                <w:color w:val="auto"/>
              </w:rPr>
            </w:pPr>
          </w:p>
        </w:tc>
        <w:tc>
          <w:tcPr>
            <w:tcW w:w="84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7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94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center"/>
              <w:ind w:left="489"/>
              <w:spacing w:after="0" w:line="140"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197,601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391,555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565,463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605,321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744,041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803,976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690,914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629,043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659,366</w:t>
            </w:r>
          </w:p>
        </w:tc>
        <w:tc>
          <w:tcPr>
            <w:tcW w:w="10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Cost of revenues</w:t>
            </w:r>
          </w:p>
        </w:tc>
        <w:tc>
          <w:tcPr>
            <w:tcW w:w="300" w:type="dxa"/>
            <w:vAlign w:val="bottom"/>
          </w:tcPr>
          <w:p>
            <w:pPr>
              <w:spacing w:after="0"/>
              <w:rPr>
                <w:sz w:val="13"/>
                <w:szCs w:val="13"/>
                <w:color w:val="auto"/>
              </w:rPr>
            </w:pPr>
          </w:p>
        </w:tc>
        <w:tc>
          <w:tcPr>
            <w:tcW w:w="9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(13,477)</w:t>
            </w:r>
          </w:p>
        </w:tc>
        <w:tc>
          <w:tcPr>
            <w:tcW w:w="102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(39,049)</w:t>
            </w:r>
          </w:p>
        </w:tc>
        <w:tc>
          <w:tcPr>
            <w:tcW w:w="88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(52,708)</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(73,693)</w:t>
            </w:r>
          </w:p>
        </w:tc>
        <w:tc>
          <w:tcPr>
            <w:tcW w:w="11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(86,081)</w:t>
            </w:r>
          </w:p>
        </w:tc>
        <w:tc>
          <w:tcPr>
            <w:tcW w:w="9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(100,869)</w:t>
            </w:r>
          </w:p>
        </w:tc>
        <w:tc>
          <w:tcPr>
            <w:tcW w:w="90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(114,249)</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(107,558)</w:t>
            </w:r>
          </w:p>
        </w:tc>
        <w:tc>
          <w:tcPr>
            <w:tcW w:w="10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(75,062)</w:t>
            </w: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3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184,124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352,506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512,755</w:t>
            </w:r>
          </w:p>
        </w:tc>
        <w:tc>
          <w:tcPr>
            <w:tcW w:w="1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531,628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657,960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703,107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576,665</w:t>
            </w: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521,485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584,304</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2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(188,770)</w:t>
            </w:r>
          </w:p>
        </w:tc>
        <w:tc>
          <w:tcPr>
            <w:tcW w:w="10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(390,448)</w:t>
            </w:r>
          </w:p>
        </w:tc>
        <w:tc>
          <w:tcPr>
            <w:tcW w:w="88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(429,777)</w:t>
            </w: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(685,946)</w:t>
            </w:r>
          </w:p>
        </w:tc>
        <w:tc>
          <w:tcPr>
            <w:tcW w:w="11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(670,172)</w:t>
            </w:r>
          </w:p>
        </w:tc>
        <w:tc>
          <w:tcPr>
            <w:tcW w:w="9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(560,175)</w:t>
            </w:r>
          </w:p>
        </w:tc>
        <w:tc>
          <w:tcPr>
            <w:tcW w:w="90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(492,665)</w:t>
            </w: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(531,447)</w:t>
            </w:r>
          </w:p>
        </w:tc>
        <w:tc>
          <w:tcPr>
            <w:tcW w:w="10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(581,158)</w:t>
            </w:r>
          </w:p>
        </w:tc>
      </w:tr>
      <w:tr>
        <w:trPr>
          <w:trHeight w:val="146"/>
        </w:trPr>
        <w:tc>
          <w:tcPr>
            <w:tcW w:w="20" w:type="dxa"/>
            <w:vAlign w:val="bottom"/>
          </w:tcPr>
          <w:p>
            <w:pPr>
              <w:spacing w:after="0"/>
              <w:rPr>
                <w:sz w:val="12"/>
                <w:szCs w:val="12"/>
                <w:color w:val="auto"/>
              </w:rPr>
            </w:pPr>
          </w:p>
        </w:tc>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28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(6,137)</w:t>
            </w:r>
          </w:p>
        </w:tc>
        <w:tc>
          <w:tcPr>
            <w:tcW w:w="102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(19,455)</w:t>
            </w:r>
          </w:p>
        </w:tc>
        <w:tc>
          <w:tcPr>
            <w:tcW w:w="88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(15,409)</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(75,264)</w:t>
            </w:r>
          </w:p>
        </w:tc>
        <w:tc>
          <w:tcPr>
            <w:tcW w:w="11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(41,976)</w:t>
            </w:r>
          </w:p>
        </w:tc>
        <w:tc>
          <w:tcPr>
            <w:tcW w:w="9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(51,581)</w:t>
            </w:r>
          </w:p>
        </w:tc>
        <w:tc>
          <w:tcPr>
            <w:tcW w:w="90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(47,301)</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(132,626)</w:t>
            </w:r>
          </w:p>
        </w:tc>
        <w:tc>
          <w:tcPr>
            <w:tcW w:w="10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(52,301)</w:t>
            </w: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(22,331)</w:t>
            </w:r>
          </w:p>
        </w:tc>
        <w:tc>
          <w:tcPr>
            <w:tcW w:w="10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(21,583)</w:t>
            </w:r>
          </w:p>
        </w:tc>
        <w:tc>
          <w:tcPr>
            <w:tcW w:w="88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(21,310)</w:t>
            </w: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(35,117)</w:t>
            </w:r>
          </w:p>
        </w:tc>
        <w:tc>
          <w:tcPr>
            <w:tcW w:w="11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(30,328)</w:t>
            </w:r>
          </w:p>
        </w:tc>
        <w:tc>
          <w:tcPr>
            <w:tcW w:w="9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(38,539)</w:t>
            </w:r>
          </w:p>
        </w:tc>
        <w:tc>
          <w:tcPr>
            <w:tcW w:w="90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(35,152)</w:t>
            </w: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(62,631)</w:t>
            </w:r>
          </w:p>
        </w:tc>
        <w:tc>
          <w:tcPr>
            <w:tcW w:w="10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(44,390)</w:t>
            </w:r>
          </w:p>
        </w:tc>
      </w:tr>
      <w:tr>
        <w:trPr>
          <w:trHeight w:val="159"/>
        </w:trPr>
        <w:tc>
          <w:tcPr>
            <w:tcW w:w="23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(217,238)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(431,486)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(466,496)</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(796,327</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(742,476)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(650,295)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(575,118)</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(726,704</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(677,849)</w:t>
            </w:r>
          </w:p>
        </w:tc>
        <w:tc>
          <w:tcPr>
            <w:tcW w:w="10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(Loss)/Income from operations</w:t>
            </w:r>
          </w:p>
        </w:tc>
        <w:tc>
          <w:tcPr>
            <w:tcW w:w="12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(33,114)</w:t>
            </w:r>
          </w:p>
        </w:tc>
        <w:tc>
          <w:tcPr>
            <w:tcW w:w="10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(78,980)</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46,259</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(264,699)</w:t>
            </w:r>
          </w:p>
        </w:tc>
        <w:tc>
          <w:tcPr>
            <w:tcW w:w="11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(84,516)</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52,812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1,547</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(205,219)</w:t>
            </w:r>
          </w:p>
        </w:tc>
        <w:tc>
          <w:tcPr>
            <w:tcW w:w="10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(93,545)</w:t>
            </w:r>
          </w:p>
        </w:tc>
      </w:tr>
      <w:tr>
        <w:trPr>
          <w:trHeight w:val="146"/>
        </w:trPr>
        <w:tc>
          <w:tcPr>
            <w:tcW w:w="20" w:type="dxa"/>
            <w:vAlign w:val="bottom"/>
          </w:tcPr>
          <w:p>
            <w:pPr>
              <w:spacing w:after="0"/>
              <w:rPr>
                <w:sz w:val="12"/>
                <w:szCs w:val="12"/>
                <w:color w:val="auto"/>
              </w:rPr>
            </w:pPr>
          </w:p>
        </w:tc>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Interest income</w:t>
            </w:r>
          </w:p>
        </w:tc>
        <w:tc>
          <w:tcPr>
            <w:tcW w:w="1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Others, net</w:t>
            </w:r>
          </w:p>
        </w:tc>
        <w:tc>
          <w:tcPr>
            <w:tcW w:w="1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2"/>
                <w:szCs w:val="12"/>
                <w:color w:val="auto"/>
              </w:rPr>
            </w:pPr>
          </w:p>
        </w:tc>
        <w:tc>
          <w:tcPr>
            <w:tcW w:w="9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3,374</w:t>
            </w:r>
          </w:p>
        </w:tc>
        <w:tc>
          <w:tcPr>
            <w:tcW w:w="1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3,865</w:t>
            </w:r>
          </w:p>
        </w:tc>
        <w:tc>
          <w:tcPr>
            <w:tcW w:w="1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6,627</w:t>
            </w:r>
          </w:p>
        </w:tc>
        <w:tc>
          <w:tcPr>
            <w:tcW w:w="100" w:type="dxa"/>
            <w:vAlign w:val="bottom"/>
          </w:tcPr>
          <w:p>
            <w:pPr>
              <w:spacing w:after="0"/>
              <w:rPr>
                <w:sz w:val="12"/>
                <w:szCs w:val="12"/>
                <w:color w:val="auto"/>
              </w:rPr>
            </w:pPr>
          </w:p>
        </w:tc>
        <w:tc>
          <w:tcPr>
            <w:tcW w:w="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6,027</w:t>
            </w:r>
          </w:p>
        </w:tc>
        <w:tc>
          <w:tcPr>
            <w:tcW w:w="180" w:type="dxa"/>
            <w:vAlign w:val="bottom"/>
          </w:tcPr>
          <w:p>
            <w:pPr>
              <w:spacing w:after="0"/>
              <w:rPr>
                <w:sz w:val="12"/>
                <w:szCs w:val="12"/>
                <w:color w:val="auto"/>
              </w:rPr>
            </w:pPr>
          </w:p>
        </w:tc>
        <w:tc>
          <w:tcPr>
            <w:tcW w:w="8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1,890</w:t>
            </w:r>
          </w:p>
        </w:tc>
        <w:tc>
          <w:tcPr>
            <w:tcW w:w="10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6,515</w:t>
            </w:r>
          </w:p>
        </w:tc>
        <w:tc>
          <w:tcPr>
            <w:tcW w:w="2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5,481</w:t>
            </w:r>
          </w:p>
        </w:tc>
        <w:tc>
          <w:tcPr>
            <w:tcW w:w="100" w:type="dxa"/>
            <w:vAlign w:val="bottom"/>
          </w:tcPr>
          <w:p>
            <w:pPr>
              <w:spacing w:after="0"/>
              <w:rPr>
                <w:sz w:val="12"/>
                <w:szCs w:val="12"/>
                <w:color w:val="auto"/>
              </w:rPr>
            </w:pPr>
          </w:p>
        </w:tc>
        <w:tc>
          <w:tcPr>
            <w:tcW w:w="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6,450</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(Loss)/Income before income tax</w:t>
            </w:r>
          </w:p>
        </w:tc>
        <w:tc>
          <w:tcPr>
            <w:tcW w:w="12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(31,831)</w:t>
            </w:r>
          </w:p>
        </w:tc>
        <w:tc>
          <w:tcPr>
            <w:tcW w:w="10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(75,572)</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50,290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(257,887)</w:t>
            </w:r>
          </w:p>
        </w:tc>
        <w:tc>
          <w:tcPr>
            <w:tcW w:w="11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(78,469)</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54,763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8,186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(199,556)</w:t>
            </w:r>
          </w:p>
        </w:tc>
        <w:tc>
          <w:tcPr>
            <w:tcW w:w="10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(86,903)</w:t>
            </w:r>
          </w:p>
        </w:tc>
      </w:tr>
      <w:tr>
        <w:trPr>
          <w:trHeight w:val="159"/>
        </w:trPr>
        <w:tc>
          <w:tcPr>
            <w:tcW w:w="23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Income tax expense/(benefit)</w:t>
            </w:r>
          </w:p>
        </w:tc>
        <w:tc>
          <w:tcPr>
            <w:tcW w:w="3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(2,108)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542</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542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(8,686)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(8,072)</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(2,134)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(10,375)</w:t>
            </w:r>
          </w:p>
        </w:tc>
        <w:tc>
          <w:tcPr>
            <w:tcW w:w="10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2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2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(31,831)</w:t>
            </w:r>
          </w:p>
        </w:tc>
        <w:tc>
          <w:tcPr>
            <w:tcW w:w="10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(77,680)</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50,832</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(257,358)</w:t>
            </w:r>
          </w:p>
        </w:tc>
        <w:tc>
          <w:tcPr>
            <w:tcW w:w="11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(77,927)</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46,077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114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(201,690)</w:t>
            </w:r>
          </w:p>
        </w:tc>
        <w:tc>
          <w:tcPr>
            <w:tcW w:w="104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(97,278)</w:t>
            </w:r>
          </w:p>
        </w:tc>
      </w:tr>
    </w:tbl>
    <w:p>
      <w:pPr>
        <w:spacing w:after="0" w:line="194" w:lineRule="exact"/>
        <w:rPr>
          <w:sz w:val="20"/>
          <w:szCs w:val="20"/>
          <w:color w:val="auto"/>
        </w:rPr>
      </w:pPr>
    </w:p>
    <w:p>
      <w:pPr>
        <w:ind w:left="200" w:right="100" w:firstLine="434"/>
        <w:spacing w:after="0" w:line="269" w:lineRule="auto"/>
        <w:rPr>
          <w:sz w:val="20"/>
          <w:szCs w:val="20"/>
          <w:color w:val="auto"/>
        </w:rPr>
      </w:pPr>
      <w:r>
        <w:rPr>
          <w:rFonts w:ascii="Times New Roman" w:cs="Times New Roman" w:eastAsia="Times New Roman" w:hAnsi="Times New Roman"/>
          <w:sz w:val="17"/>
          <w:szCs w:val="17"/>
          <w:color w:val="auto"/>
        </w:rPr>
        <w:t>We experienced continued revenue growth for the six quarters from July 1, 2020 to December 31, 2021, primarily due to the overall increase in revenues from our financial literacy courses, and the increase in revenues from insurance brokerage services for the quarters ended June 30, 2021 and December 31, 2021. We experienced fluctuations in revenues for the fiscal quarters from January 1, 2022 through September 30, 2022, primarily due to</w:t>
      </w:r>
    </w:p>
    <w:p>
      <w:pPr>
        <w:ind w:left="200" w:right="180" w:hanging="1"/>
        <w:spacing w:after="0" w:line="268" w:lineRule="auto"/>
        <w:tabs>
          <w:tab w:leader="none" w:pos="4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diversify the course offerings, including the development of certain new courses and the proportional increase in the allocation of our marketing and corporate resources to new courses; (2) the seasonal fluctuation of individual online learning services, which typically leads to lower revenues in the last two quarters of our fiscal year when our and the overall marketing and promotional activities are less active as a result of the Chinese New Year holiday and the market conditions in general; and (3) the disposal of insurance brokerage services to an affiliate in early 2022.</w:t>
      </w:r>
    </w:p>
    <w:p>
      <w:pPr>
        <w:spacing w:after="0" w:line="171" w:lineRule="exact"/>
        <w:rPr>
          <w:sz w:val="20"/>
          <w:szCs w:val="20"/>
          <w:color w:val="auto"/>
        </w:rPr>
      </w:pPr>
    </w:p>
    <w:p>
      <w:pPr>
        <w:jc w:val="both"/>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We experienced continued increase in our cost of revenues for the six quarters from July 1, 2020 to December 31, 2021, which is generally in line with our revenue growth. Our cost of revenues fluctuated for the two quarters from January 1, 2022 to June 30, 2022, as we experienced fluctuations in our labor outsourcing and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320" w:top="452"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staff costs due to changes in our business and strategic needs and the increase in our share-based compensation expenses for the quarter ended June 30, 2022. Our cost of revenues decreased for the quarter ended September 30, 2022, primarily due to the decrease in share-based compensation and the decrease in our labor outsourcing and staff costs due to changes in our business and strategic needs.</w:t>
      </w:r>
    </w:p>
    <w:p>
      <w:pPr>
        <w:spacing w:after="0" w:line="176" w:lineRule="exact"/>
        <w:rPr>
          <w:sz w:val="20"/>
          <w:szCs w:val="20"/>
          <w:color w:val="auto"/>
        </w:rPr>
      </w:pPr>
    </w:p>
    <w:p>
      <w:pPr>
        <w:ind w:left="200" w:right="160" w:firstLine="434"/>
        <w:spacing w:after="0" w:line="251" w:lineRule="auto"/>
        <w:rPr>
          <w:sz w:val="20"/>
          <w:szCs w:val="20"/>
          <w:color w:val="auto"/>
        </w:rPr>
      </w:pPr>
      <w:r>
        <w:rPr>
          <w:rFonts w:ascii="Times New Roman" w:cs="Times New Roman" w:eastAsia="Times New Roman" w:hAnsi="Times New Roman"/>
          <w:sz w:val="18"/>
          <w:szCs w:val="18"/>
          <w:color w:val="auto"/>
        </w:rPr>
        <w:t>Our operating expenses generally increased for the four quarters from July 1, 2020 to June 30, 2021, which was in line with our rapid business expansion. For the three quarters from July 1, 2021 to March 31, 2022, (1) our sales and marketing expenses decreased as we adjusted our sales and marketing efforts and benefited from greater operating efficiency with such activities, and (2) our research and development expenses and general and administrative expenses fluctuated with our business and strategic needs. We experienced an increase in our operating expenses for the quarter ended June 30, 2022, primarily due to the increase in our share-based compensation expenses. Our operating expenses generally decreased for the quarter ended September 30, 2022, primarily due to the decrease in our share-based compensation expenses, partially offset by the increase in certain other operating expenses in line with our operational needs, such as our marketing and promotion expenses.</w:t>
      </w:r>
    </w:p>
    <w:p>
      <w:pPr>
        <w:spacing w:after="0" w:line="187" w:lineRule="exact"/>
        <w:rPr>
          <w:sz w:val="20"/>
          <w:szCs w:val="20"/>
          <w:color w:val="auto"/>
        </w:rPr>
      </w:pPr>
    </w:p>
    <w:p>
      <w:pPr>
        <w:ind w:left="200" w:right="180" w:firstLine="434"/>
        <w:spacing w:after="0" w:line="275" w:lineRule="auto"/>
        <w:rPr>
          <w:sz w:val="20"/>
          <w:szCs w:val="20"/>
          <w:color w:val="auto"/>
        </w:rPr>
      </w:pPr>
      <w:r>
        <w:rPr>
          <w:rFonts w:ascii="Times New Roman" w:cs="Times New Roman" w:eastAsia="Times New Roman" w:hAnsi="Times New Roman"/>
          <w:sz w:val="18"/>
          <w:szCs w:val="18"/>
          <w:color w:val="auto"/>
        </w:rPr>
        <w:t>For details of the results of operations for the quarter ended September 30, 2021 and 2022, see “— Results of operation — Three months ended September 30, 2022 compared to three months ended September 30, 2021.”</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Gross billings of individual online learning services</w:t>
      </w:r>
    </w:p>
    <w:p>
      <w:pPr>
        <w:spacing w:after="0" w:line="116" w:lineRule="exact"/>
        <w:rPr>
          <w:sz w:val="20"/>
          <w:szCs w:val="20"/>
          <w:color w:val="auto"/>
        </w:rPr>
      </w:pPr>
    </w:p>
    <w:p>
      <w:pPr>
        <w:ind w:left="200" w:right="80" w:firstLine="434"/>
        <w:spacing w:after="0" w:line="272" w:lineRule="auto"/>
        <w:rPr>
          <w:sz w:val="20"/>
          <w:szCs w:val="20"/>
          <w:color w:val="auto"/>
        </w:rPr>
      </w:pPr>
      <w:r>
        <w:rPr>
          <w:rFonts w:ascii="Times New Roman" w:cs="Times New Roman" w:eastAsia="Times New Roman" w:hAnsi="Times New Roman"/>
          <w:sz w:val="17"/>
          <w:szCs w:val="17"/>
          <w:color w:val="auto"/>
        </w:rPr>
        <w:t>Gross billings is a non-GAAP financial measure. We define gross billings for a specific period as revenues of our individual online learning services net of the changes in deferred revenues in such period, further adjusted by value-added tax and certain cost deduction in such period. Our management uses gross billings as a performance measurement because we generally bill our learners for the entire course fee at the time of sale of our course offerings and recognize revenue ratably over the longer of the corresponding contractual service period of the course and an estimated average learning time of our learners. We believe that gross billings provide valuable insight into the sales of our courses and our business performance.</w:t>
      </w:r>
    </w:p>
    <w:p>
      <w:pPr>
        <w:spacing w:after="0" w:line="169"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Investors should not consider this non-GAAP financial measure in isolation from, or as a substitute for, its most directly comparable financial measure prepared in accordance with U.S. GAAP. A reconciliation of the historical non-GAAP financial measure to its most directly comparable U.S. GAAP measure has been provided in the financial statement tables included below. Investors are encouraged to review the reconciliation of the historical non-GAAP financial measure to its most directly comparable U.S. GAAP financial measure. As gross billings have material limitations as an analytical metrics and may not be calculated in the same manner by all companies, it may not be comparable to other similarly titled measures used by other companies. In light of the foregoing limitations, investors should not consider gross billings as a substitute for, or superior to, revenues prepared in accordance with U.S. GAAP. We encourage investors and others to review our financial information in its entirety and not rely on a single financial measure.</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320" w:top="452" w:right="5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below sets forth a reconciliation of our gross billings to revenues for the periods indicated.</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10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272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10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ind w:right="437"/>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of individual online learning services: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1,563,607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2,494,330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585,085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 value-added tax</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155,851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Add: cost deduction</w:t>
            </w:r>
            <w:r>
              <w:rPr>
                <w:rFonts w:ascii="Times New Roman" w:cs="Times New Roman" w:eastAsia="Times New Roman" w:hAnsi="Times New Roman"/>
                <w:sz w:val="24"/>
                <w:szCs w:val="24"/>
                <w:color w:val="auto"/>
                <w:vertAlign w:val="superscript"/>
              </w:rPr>
              <w:t>(1)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16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Add: ending deferred revenues</w:t>
            </w:r>
            <w:r>
              <w:rPr>
                <w:rFonts w:ascii="Times New Roman" w:cs="Times New Roman" w:eastAsia="Times New Roman" w:hAnsi="Times New Roman"/>
                <w:sz w:val="24"/>
                <w:szCs w:val="24"/>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531,662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541,336</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573,528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Less: beginning deferred revenues</w:t>
            </w:r>
            <w:r>
              <w:rPr>
                <w:rFonts w:ascii="Times New Roman" w:cs="Times New Roman" w:eastAsia="Times New Roman" w:hAnsi="Times New Roman"/>
                <w:sz w:val="24"/>
                <w:szCs w:val="24"/>
                <w:color w:val="auto"/>
                <w:vertAlign w:val="superscript"/>
              </w:rPr>
              <w:t>(2)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(54,723)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(427,288)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(60,067)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(427,288)</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(531,662)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(74,740)</w:t>
            </w:r>
          </w:p>
        </w:tc>
        <w:tc>
          <w:tcPr>
            <w:tcW w:w="0" w:type="dxa"/>
            <w:vAlign w:val="bottom"/>
          </w:tcPr>
          <w:p>
            <w:pPr>
              <w:spacing w:after="0"/>
              <w:rPr>
                <w:sz w:val="1"/>
                <w:szCs w:val="1"/>
                <w:color w:val="auto"/>
              </w:rPr>
            </w:pPr>
          </w:p>
        </w:tc>
      </w:tr>
      <w:tr>
        <w:trPr>
          <w:trHeight w:val="21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billings of individual online learning services: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2,045,203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2,758,236</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387,747</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664,927</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101600</wp:posOffset>
            </wp:positionV>
            <wp:extent cx="7512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70" w:lineRule="exact"/>
        <w:rPr>
          <w:sz w:val="20"/>
          <w:szCs w:val="20"/>
          <w:color w:val="auto"/>
        </w:rPr>
      </w:pPr>
    </w:p>
    <w:p>
      <w:pPr>
        <w:ind w:left="620" w:right="80" w:hanging="421"/>
        <w:spacing w:after="0" w:line="229" w:lineRule="auto"/>
        <w:tabs>
          <w:tab w:leader="none" w:pos="6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deduction represents the costs paid to third-party content providers of certain cooperative personal interest courses, for which we collected tuition fees from learners on behalf of the content providers and recognized revenue on a net basis.</w:t>
      </w:r>
    </w:p>
    <w:p>
      <w:pPr>
        <w:spacing w:after="0" w:line="1" w:lineRule="exact"/>
        <w:rPr>
          <w:rFonts w:ascii="Times New Roman" w:cs="Times New Roman" w:eastAsia="Times New Roman" w:hAnsi="Times New Roman"/>
          <w:sz w:val="14"/>
          <w:szCs w:val="14"/>
          <w:color w:val="auto"/>
        </w:rPr>
      </w:pPr>
    </w:p>
    <w:p>
      <w:pPr>
        <w:ind w:left="620" w:right="360" w:hanging="421"/>
        <w:spacing w:after="0" w:line="234" w:lineRule="auto"/>
        <w:tabs>
          <w:tab w:leader="none" w:pos="6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revenues include contract liabilities, advance from customers, and refund liability of individual online learning services included in “accrued expenses and other current liabilities.”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(loss)/profit</w:t>
      </w:r>
    </w:p>
    <w:p>
      <w:pPr>
        <w:spacing w:after="0" w:line="116"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presented in accordance with U.S. GAAP, we also use adjusted net profit/loss as an additional non-GAAP financial measure. We define adjusted net profit/loss as net profit/loss excluding share-based compensation. We present this non-GAAP financial measure because our management uses it to evaluate our operating performance. We also believe that this non-GAAP financial measure provides useful information to investors and others in understanding and evaluating the consolidated financial results in the same manner as our management and in comparing financial results across accounting periods and to those of our peer companies.</w:t>
      </w:r>
    </w:p>
    <w:p>
      <w:pPr>
        <w:spacing w:after="0" w:line="185"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This non-GAAP financial measure adjusts for the impact of items that we do not consider indicative of the operational performance of our business and should not be considered in isolation or construed as an alternative to net profit/loss or any other measure of performance or as an indicator of our future performance. Investors are encouraged to compare this historical non-GAAP financial measure with the most directly comparable U.S. GAAP measures. Adjusted net profit/loss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a reconciliation of our adjusted net (loss)/profit to net loss for the periods indicated.</w:t>
      </w:r>
    </w:p>
    <w:p>
      <w:pPr>
        <w:spacing w:after="0" w:line="22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25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9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ind w:left="240"/>
              <w:spacing w:after="0" w:line="153"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(316,037)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(77,927)</w:t>
            </w:r>
          </w:p>
        </w:tc>
        <w:tc>
          <w:tcPr>
            <w:tcW w:w="11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(97,278)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101,830</w:t>
            </w: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291,429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40,968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29,133</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46,370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(loss)/profit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(214,207)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58,003</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8,152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(48,794)</w:t>
            </w:r>
          </w:p>
        </w:tc>
        <w:tc>
          <w:tcPr>
            <w:tcW w:w="11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(50,908)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2"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88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1380" w:type="dxa"/>
            <w:vAlign w:val="bottom"/>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Borders>
              <w:top w:val="single" w:sz="8" w:color="auto"/>
              <w:bottom w:val="single" w:sz="8" w:color="auto"/>
            </w:tcBorders>
            <w:gridSpan w:val="2"/>
          </w:tcPr>
          <w:p>
            <w:pPr>
              <w:jc w:val="center"/>
              <w:ind w:left="618"/>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20" w:type="dxa"/>
            <w:vAlign w:val="bottom"/>
            <w:tcBorders>
              <w:bottom w:val="single" w:sz="8" w:color="auto"/>
            </w:tcBorders>
          </w:tcPr>
          <w:p>
            <w:pPr>
              <w:jc w:val="right"/>
              <w:ind w:right="7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80" w:type="dxa"/>
            <w:vAlign w:val="bottom"/>
            <w:tcBorders>
              <w:bottom w:val="single" w:sz="8" w:color="auto"/>
            </w:tcBorders>
          </w:tcPr>
          <w:p>
            <w:pPr>
              <w:jc w:val="right"/>
              <w:ind w:right="9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20" w:type="dxa"/>
            <w:vAlign w:val="bottom"/>
            <w:tcBorders>
              <w:bottom w:val="single" w:sz="8" w:color="auto"/>
            </w:tcBorders>
          </w:tcPr>
          <w:p>
            <w:pPr>
              <w:jc w:val="right"/>
              <w:ind w:right="115"/>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800" w:type="dxa"/>
            <w:vAlign w:val="bottom"/>
            <w:tcBorders>
              <w:bottom w:val="single" w:sz="8" w:color="auto"/>
            </w:tcBorders>
          </w:tcPr>
          <w:p>
            <w:pPr>
              <w:jc w:val="right"/>
              <w:ind w:right="158"/>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(62,353)</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(108,581)</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(21,093)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 and restricted cash</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the period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period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450,328</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right="60" w:firstLine="434"/>
        <w:spacing w:after="0" w:line="270" w:lineRule="auto"/>
        <w:rPr>
          <w:sz w:val="20"/>
          <w:szCs w:val="20"/>
          <w:color w:val="auto"/>
        </w:rPr>
      </w:pPr>
      <w:r>
        <w:rPr>
          <w:rFonts w:ascii="Times New Roman" w:cs="Times New Roman" w:eastAsia="Times New Roman" w:hAnsi="Times New Roman"/>
          <w:sz w:val="17"/>
          <w:szCs w:val="17"/>
          <w:color w:val="auto"/>
        </w:rPr>
        <w:t>To date, we have financed our operating and investing activities primarily through net cash generated by operating activities and cash from historical equity financing activities. As of June 30, 2021 and 2022 and September 30, 2022, our cash and cash equivalents and restricted cash were RMB25.1 million, RMB266.4 million (US$37.5 million) and RMB450.3 million (US$63.3 million), respectively. Our cash and cash equivalents primarily consist of cash on hand and deposits which have original maturities of three months or less and are readily convertible to cash. As of June 30, 2021 and 2022 and September 30, 2022, our short-term investments were RMB29.6 million, RMB132.6 million (US$18.6 million) and RMB6.1 million (US$0.9 million), respectively. Short-term investments include wealth management product of variable interest rates from financial institutions.</w:t>
      </w:r>
    </w:p>
    <w:p>
      <w:pPr>
        <w:spacing w:after="0" w:line="170" w:lineRule="exact"/>
        <w:rPr>
          <w:sz w:val="20"/>
          <w:szCs w:val="20"/>
          <w:color w:val="auto"/>
        </w:rPr>
      </w:pPr>
    </w:p>
    <w:p>
      <w:pPr>
        <w:ind w:left="200" w:right="60" w:firstLine="434"/>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and our anticipated cash flows from operations will be sufficient to meet our anticipated working capital requirements and capital expenditures for at least the next 12 months from the date of this prospectus. After this offering, we may decide to enhance our liquidity position or increase our cash reserve for future investments through additional capital injection and financial activities. The issuance and sale of additional equity would result in further dilution to our shareholders. The incurrence of indebtedness would result in increased fixed obligations and could result in operating covenants that would restrict our business operations. We cannot assure you that any financing will be available in amounts or on terms acceptable to us, if at all.</w:t>
      </w:r>
    </w:p>
    <w:p>
      <w:pPr>
        <w:spacing w:after="0" w:line="185"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As of September 30, 2022, 90.6% and 9.4% of our cash and cash equivalents and restricted cash were held in mainland China and Hong Kong, respectively. As of September 30, 2022, 90.6% and 9.4% of our cash and cash equivalents and restricted cash were denominated in Renminbi and U.S. dollars, respectively. As of September 30, 2022, all of our short-term investment was held in mainland China. As of September 30, 2022, 49.4% of cash and cash equivalents and restricted cash and nil of our short-term investments were held by the affiliated entities.</w:t>
      </w:r>
    </w:p>
    <w:p>
      <w:pPr>
        <w:spacing w:after="0" w:line="181" w:lineRule="exact"/>
        <w:rPr>
          <w:sz w:val="20"/>
          <w:szCs w:val="20"/>
          <w:color w:val="auto"/>
        </w:rPr>
      </w:pPr>
    </w:p>
    <w:p>
      <w:pPr>
        <w:ind w:left="200" w:right="380" w:firstLine="434"/>
        <w:spacing w:after="0" w:line="261" w:lineRule="auto"/>
        <w:rPr>
          <w:sz w:val="20"/>
          <w:szCs w:val="20"/>
          <w:color w:val="auto"/>
        </w:rPr>
      </w:pPr>
      <w:r>
        <w:rPr>
          <w:rFonts w:ascii="Times New Roman" w:cs="Times New Roman" w:eastAsia="Times New Roman" w:hAnsi="Times New Roman"/>
          <w:sz w:val="18"/>
          <w:szCs w:val="18"/>
          <w:color w:val="auto"/>
        </w:rPr>
        <w:t>The COVID-19 pandemic did not result in any material impairments, allowances, charges or changes in accounting judgments on our balance sheet as of June 30, 2021 and 2022 and September 30, 2022. In addition, the COVID-19 pandemic did not result in any change to the terms and conditions of our existing debt and other obligations, nor did it have any material negative effect on our ability to timely service them.</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52"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Although we consolidate the financial results of the affiliated entities, we only have access to their assets or earnings through our contractual arrangements with the VIE and its shareholder. See “Corporate History and Structure — Contractual Arrangements.” For restrictions and limitations on liquidity and capital resources as a result of our corporate structure, see “— Holding Company Structure.”</w:t>
      </w:r>
    </w:p>
    <w:p>
      <w:pPr>
        <w:spacing w:after="0" w:line="176"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In utilizing the proceeds we expect to receive from this offering, we may make additional capital contributions to our WFOE, which is a PRC subsidiary, establish new PRC subsidiaries and make capital contributions to these new PRC subsidiaries, make loans to our WFOE, or acquire offshore entities with operations in China in offshore transactions. However, most of these uses are subject to PRC regulations.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WFOE, which could materially and adversely affect our liquidity and our ability to fund and expand our business” and “Use of Proceeds.”</w:t>
      </w:r>
    </w:p>
    <w:p>
      <w:pPr>
        <w:spacing w:after="0" w:line="187" w:lineRule="exact"/>
        <w:rPr>
          <w:sz w:val="20"/>
          <w:szCs w:val="20"/>
          <w:color w:val="auto"/>
        </w:rPr>
      </w:pPr>
    </w:p>
    <w:p>
      <w:pPr>
        <w:ind w:left="200" w:right="20" w:firstLine="434"/>
        <w:spacing w:after="0" w:line="248" w:lineRule="auto"/>
        <w:rPr>
          <w:sz w:val="20"/>
          <w:szCs w:val="20"/>
          <w:color w:val="auto"/>
        </w:rPr>
      </w:pPr>
      <w:r>
        <w:rPr>
          <w:rFonts w:ascii="Times New Roman" w:cs="Times New Roman" w:eastAsia="Times New Roman" w:hAnsi="Times New Roman"/>
          <w:sz w:val="18"/>
          <w:szCs w:val="18"/>
          <w:color w:val="auto"/>
        </w:rPr>
        <w:t>All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WFOE is allowed to pay dividends in foreign currencies to us without prior SAFE approval by following certain routine procedural requirements. However, current PRC regulations permit our WFOE to pay dividends to us only out of its accumulated profits, if any, determined in accordance with Chinese accounting standards and regulations. Our WFOE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WFOE has not paid dividends to us, and they will not be able to pay dividends until they generate accumulated profits. Furthermore, capital account transactions, which include foreign direct investment and loans, must be approved by and/or registered with SAFE, its local branches and certain local banks. As a Cayman Islands exempted company and offshore holding company, we are permitted under PRC laws and regulations to provide funding to our WFOE only through loans or capital contributions, subject to the approval, filings or registration of government authorities and limits on the amount of capital contributions and loans. The PRC government may at its discretion restrict access to foreign currencies for current account transactions or capital account transactions in the future. See “Risk Factors — Risks Related to Doing Business in China — Restrictions on the remittance of Renminbi into and out of China and governmental control of currency conversion may limit our ability to pay dividends and other obligations, and affect the value of your investment.”</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6"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Our net cash provided by operating activities for the three months ended September 30, 2022 was RMB28.5 million (US$4.0 million), primarily due to net loss of RMB97.3 million (US$13.7 million), as adjusted primarily by certain non-cash items, including share-based compensation of RMB46.4 million (US$6.5 million), and changes in working capital that positively affected our operating cash flows, including (1) an increase in contract liability of RMB47.3 million (US$6.7 million), primarily due to the increase in course fees collected that had not been recognized as revenues, as a result of the expansion of our other personal interest courses; (2) an increase in accrued expenses and other current liabilities of RMB18.8 million (US$2.6 million), primarily due to the increases in (i) accrued employee payroll and welfare benefits, primarily due to the increase in the employee headcount in line with our business expansion, and (ii) other tax payable primarily due to the increase in value-added tax payable; and (3) an increase in accounts payables RMB24.6 million (US$3.5 million), primarily due to the increase of promotion fees payable, partially offset by changes in working capital that negatively affected our operating cash flows, including (1) a decrease in advance from customers of RMB8.0 million (US$1.1 million), primarily relating to learners’ prepayment of course fees; and (2) an increase in prepayments and other current assets of RMB3.8 million (US$0.5 million), primarily due to an increase in prepayments for promotion fees.</w:t>
      </w:r>
    </w:p>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320" w:top="452" w:right="5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Our net cash provided by operating activities for the fiscal year ended June 30, 2022 was RMB272.6 million (US$38.3 million), primarily due to net loss of RMB233.4 million (US$32.8 million), as adjusted primarily by certain non-cash items, including share-based compensation of RMB291.4 million (US$41.0 million), and changes in working capital that positively affected our operating cash flows, including (1) a decrease in accounts receivable of RMB55.4 million (US$7.8 million), as we imposed stricter control over our accounts receivable related to our marketing services; (2) an increase in contract liability of RMB99.5 million (US$14.0 million), primarily due to the increase in course fees collected that had not been recognized as revenues, as a result of the expansion of our individual online learning services; (3) an increase in accrued expenses and other current liabilities of RMB61.0 million (US$8.6 million), primarily due to the increases in (i) accrued employee payroll and welfare benefits, primarily due to the increase in the employee headcount in line with our business expansion, (ii) other accrued expense primarily relating to our accrued listing expenses and business expenses, and (iii) other tax payable primarily due to the increase in value-added tax payable; and (4) an increase in advance from customers of RMB17.9 million (US$2.5 million), primarily due to the growth of our individual online learning services, partially offset by changes in working capital that negatively affected our operating cash flows, including (1) an increase in amount due from related parties of RMB23.2 million (US$3.3 million) representing the marketing income received from Beijing Baichuan; and (2) an increase in operating lease right-of-use assets of RMB14.6 million (US$2.0 million), primarily due to the increase in office space leased to meet our growing business needs.</w:t>
      </w:r>
    </w:p>
    <w:p>
      <w:pPr>
        <w:spacing w:after="0" w:line="187"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Our net cash provided by operating activities for the fiscal year ended June 30, 2021 was RMB79.4 million, primarily due to net loss of RMB316.0 million, as adjusted primarily by certain non-cash items, including share-based compensation of RMB101.8 million, and changes in working capital that positively affected our operating cash flows, including (1) an increase in contract liability of RMB253.6 million, primarily due to the increase in course fees collected that had not been recognized as revenues as a result of the expansion of our individual online learning services; (2) an increase in advance from customers of RMB119.0 million, primarily due to the growth of our individual online learning services; (3) an increase in accrued expenses and other current liabilities of RMB54.5 million, primarily due to the increase in accrued employee payroll and welfare benefits due to the increase in employee headcount and compensation level; and (4) an increase in accounts payables of RMB62.1 million, primarily due to the increase of promotion fees as we increased our sales and marketing efforts, partially offset by changes in working capital that negatively affected our operating cash flows, including (1) an increase in prepayments and other current assets of RMB96.8 million primarily due to the increases in deferred expense and prepayments for promotion fees as we increased our sales and marketing efforts; and (2) an increase in accounts receivable of RMB98.9 million, primarily relating to the growth of our marketing services.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6"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for the three months ended September 30, 2022 was RMB153.3 million (US$21.6 million), primarily due to proceeds from short-term investments of RMB540.0 million (US$75.9 million), partially offset by purchase of short-term investments of RMB414.0 million (US$58.2 million) representing wealth management products.</w:t>
      </w:r>
    </w:p>
    <w:p>
      <w:pPr>
        <w:spacing w:after="0" w:line="176" w:lineRule="exact"/>
        <w:rPr>
          <w:sz w:val="20"/>
          <w:szCs w:val="20"/>
          <w:color w:val="auto"/>
        </w:rPr>
      </w:pPr>
    </w:p>
    <w:p>
      <w:pPr>
        <w:ind w:left="200" w:right="220" w:firstLine="434"/>
        <w:spacing w:after="0" w:line="253" w:lineRule="auto"/>
        <w:rPr>
          <w:sz w:val="20"/>
          <w:szCs w:val="20"/>
          <w:color w:val="auto"/>
        </w:rPr>
      </w:pPr>
      <w:r>
        <w:rPr>
          <w:rFonts w:ascii="Times New Roman" w:cs="Times New Roman" w:eastAsia="Times New Roman" w:hAnsi="Times New Roman"/>
          <w:sz w:val="18"/>
          <w:szCs w:val="18"/>
          <w:color w:val="auto"/>
        </w:rPr>
        <w:t>Our net cash used in investing activities for the fiscal year ended June 30, 2022 was RMB108.6 million (US$15.3 million), primarily due to purchase of short-term investments of RMB976.7 million (US$137.3 million) representing wealth management products, and loan provided to related parties of RMB129.4 million (US$18.2 million) representing certain intra-group loan transactions, partially offset by proceeds from short-term investments of RMB873.7 million (US$122.8 million) due to the redemption of wealth management products and loan repaid by related parties of RMB109.4 million (US$15.4 million) representing certain intra-group loan transactions.</w:t>
      </w:r>
    </w:p>
    <w:p>
      <w:pPr>
        <w:spacing w:after="0" w:line="185"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Our net cash used in investing activities for the fiscal year ended June 30, 2021 was RMB62.4 million, primarily due to (1) purchase of short-term investments of RMB434.6 million representing wealth management products; (2) purchase of intangible assets of RMB29.8 million reflecting the procurement of certain insurance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2"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60"/>
        <w:spacing w:after="0" w:line="275" w:lineRule="auto"/>
        <w:rPr>
          <w:sz w:val="20"/>
          <w:szCs w:val="20"/>
          <w:color w:val="auto"/>
        </w:rPr>
      </w:pPr>
      <w:r>
        <w:rPr>
          <w:rFonts w:ascii="Times New Roman" w:cs="Times New Roman" w:eastAsia="Times New Roman" w:hAnsi="Times New Roman"/>
          <w:sz w:val="18"/>
          <w:szCs w:val="18"/>
          <w:color w:val="auto"/>
        </w:rPr>
        <w:t>brokerage license; and (3) purchase of property, plant and equipment of RMB5.8 million, partially offset by proceeds from short-term investments of RMB405.6 million due to the redemption of wealth management products.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net cash used in financing activities was nil for the three months ended September 30, 2022.</w:t>
      </w:r>
    </w:p>
    <w:p>
      <w:pPr>
        <w:spacing w:after="0" w:line="218" w:lineRule="exact"/>
        <w:rPr>
          <w:sz w:val="20"/>
          <w:szCs w:val="20"/>
          <w:color w:val="auto"/>
        </w:rPr>
      </w:pPr>
    </w:p>
    <w:p>
      <w:pPr>
        <w:jc w:val="both"/>
        <w:ind w:left="200" w:right="180" w:firstLine="434"/>
        <w:spacing w:after="0" w:line="256" w:lineRule="auto"/>
        <w:rPr>
          <w:sz w:val="20"/>
          <w:szCs w:val="20"/>
          <w:color w:val="auto"/>
        </w:rPr>
      </w:pPr>
      <w:r>
        <w:rPr>
          <w:rFonts w:ascii="Times New Roman" w:cs="Times New Roman" w:eastAsia="Times New Roman" w:hAnsi="Times New Roman"/>
          <w:sz w:val="18"/>
          <w:szCs w:val="18"/>
          <w:color w:val="auto"/>
        </w:rPr>
        <w:t>Our net cash provided by financing activities for the fiscal year ended June 30, 2022 was RMB71.6 million (US$10.1 million), primarily due to the contribution from the shareholders, subsidiaries and consolidated variable interest entities of Witty network Limited and EW Technology Limited (collectively, the “Predecessors”) of RMB95.0 million (US$13.4 million) and proceeds from loans from Predecessors of RMB122.8 million (US$17.3 million), partially offset by repayment of loans to Predecessors of RMB146.2 million (US$20.6 million).</w:t>
      </w:r>
    </w:p>
    <w:p>
      <w:pPr>
        <w:spacing w:after="0" w:line="181" w:lineRule="exact"/>
        <w:rPr>
          <w:sz w:val="20"/>
          <w:szCs w:val="20"/>
          <w:color w:val="auto"/>
        </w:rPr>
      </w:pPr>
    </w:p>
    <w:p>
      <w:pPr>
        <w:ind w:left="200" w:right="160" w:firstLine="434"/>
        <w:spacing w:after="0" w:line="261" w:lineRule="auto"/>
        <w:rPr>
          <w:sz w:val="20"/>
          <w:szCs w:val="20"/>
          <w:color w:val="auto"/>
        </w:rPr>
      </w:pPr>
      <w:r>
        <w:rPr>
          <w:rFonts w:ascii="Times New Roman" w:cs="Times New Roman" w:eastAsia="Times New Roman" w:hAnsi="Times New Roman"/>
          <w:sz w:val="18"/>
          <w:szCs w:val="18"/>
          <w:color w:val="auto"/>
        </w:rPr>
        <w:t>Our net cash used in financing activities for the fiscal year ended June 30, 2021 was RMB21.1 million, primarily due to the distribution to Predecessors of RMB37.0 million and repayment of loans to Parent of RMB36.8 million, partially offset by proceeds from loans from Predecessors of RMB52.7 million.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w:t>
      </w:r>
    </w:p>
    <w:p>
      <w:pPr>
        <w:spacing w:after="0" w:line="114"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We made capital expenditures of RMB5.8 million, RMB4.6 million (US$0.6 million) and RMB65,000 (US$9,000) for the fiscal years ended June 30, 2021 and 2022 and the three months ended September 30, 2022, respectively. Our capital expenditures primarily consist of computers and electronic equipment, office furniture and equipment, and leasehold improvement. We expect to continue to incur similar capital expenditure in the future as we grow our business, including capital expenditure on computers and electronic equipment for our newly launched enterprise talent management service. We intend to fund our future capital expenditures with our existing cash balance and proceeds from this offering. We will continue to make capital expenditures to meet the expected growth of our business.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did not have any significant capital and other commitments, long-term obligations or guarantees as of September 30, 2022.</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1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product development services with us.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4" w:lineRule="exact"/>
        <w:rPr>
          <w:sz w:val="20"/>
          <w:szCs w:val="20"/>
          <w:color w:val="auto"/>
        </w:rPr>
      </w:pPr>
    </w:p>
    <w:p>
      <w:pPr>
        <w:jc w:val="both"/>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personnel and other resources with which to address our internal control over financial reporting. Our management has not completed an assessment of the effectiveness of our internal control over financial reporting, and our independent registered public accounting firm has not conducted an audit of our internal control over financial reporting.</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320" w:top="452" w:right="5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In the course of preparing and auditing our consolidated financial statements as of and for the fiscal years ended June 30, 2021 and 2022, we and our independent registered public accounting firm identified one material weakness in our internal control over financial reporting as of June 30, 2022. As defined in the standards established by the PCAOB,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85"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material weakness identified relates to lack of sufficient financial reporting and accounting personnel with appropriate knowledge of U.S. GAAP and reporting requirements set forth by the SEC to properly address complex U.S. GAAP technical accounting issues, and to prepare and review the consolidated financial statements and related disclosures in accordance with U.S. GAAP and financial reporting requirements set forth by the SEC. The material weakness, if not remediated timely, may lead to material misstatements in our consolidated financial statements in the future. Prior to preparing for this offering, neither we nor our independent registered public accounting firm had undertaken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90" w:lineRule="exact"/>
        <w:rPr>
          <w:sz w:val="20"/>
          <w:szCs w:val="20"/>
          <w:color w:val="auto"/>
        </w:rPr>
      </w:pPr>
    </w:p>
    <w:p>
      <w:pPr>
        <w:ind w:left="200" w:right="120" w:firstLine="434"/>
        <w:spacing w:after="0" w:line="249" w:lineRule="auto"/>
        <w:rPr>
          <w:sz w:val="20"/>
          <w:szCs w:val="20"/>
          <w:color w:val="auto"/>
        </w:rPr>
      </w:pPr>
      <w:r>
        <w:rPr>
          <w:rFonts w:ascii="Times New Roman" w:cs="Times New Roman" w:eastAsia="Times New Roman" w:hAnsi="Times New Roman"/>
          <w:sz w:val="18"/>
          <w:szCs w:val="18"/>
          <w:color w:val="auto"/>
        </w:rPr>
        <w:t>To remedy our identified material weakness, we have begun to, and will continue to establish clear roles and responsibilities for accounting and financial reporting staff members to address complex accounting and financial reporting issues and to prepare and review consolidated financial statements, including the related disclosures, under U.S. GAAP and SEC reporting requirements. In addition, we plan to improve our internal control over financial reporting through the following measures, among others: (1) develop and implement a comprehensive set of processes and internal controls to timely and appropriately (i) identify transactions that may be subject to complex U.S. GAAP accounting treatment, (ii) analyze the transactions in accordance with the relevant U.S. GAAP, and (iii) review the accounting technical analysis; (2) enhance our financial closing and reporting policies and procedures and business process level internal controls relevant to the complex transactions to ensure that they are properly accounted for in accordance with U.S. GAAP; (3) 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 (4) establish an ongoing training program to provide sufficient and appropriate trainings for accounting and financial reporting personnel, including trainings related to U.S. GAAP and SEC reporting requirements.</w:t>
      </w:r>
    </w:p>
    <w:p>
      <w:pPr>
        <w:spacing w:after="0" w:line="189" w:lineRule="exact"/>
        <w:rPr>
          <w:sz w:val="20"/>
          <w:szCs w:val="20"/>
          <w:color w:val="auto"/>
        </w:rPr>
      </w:pPr>
    </w:p>
    <w:p>
      <w:pPr>
        <w:ind w:left="200" w:right="380" w:firstLine="434"/>
        <w:spacing w:after="0" w:line="276" w:lineRule="auto"/>
        <w:rPr>
          <w:sz w:val="20"/>
          <w:szCs w:val="20"/>
          <w:color w:val="auto"/>
        </w:rPr>
      </w:pPr>
      <w:r>
        <w:rPr>
          <w:rFonts w:ascii="Times New Roman" w:cs="Times New Roman" w:eastAsia="Times New Roman" w:hAnsi="Times New Roman"/>
          <w:sz w:val="17"/>
          <w:szCs w:val="17"/>
          <w:color w:val="auto"/>
        </w:rPr>
        <w:t>However, we cannot assure you that we will remediate our material weakness in a timely manner. See “Risk Factors — Risks Related to Our Business and Industry — A material weakness in our internal control over financial reporting has been identified, and if we fail to implement and maintain an effective system of internal control over financial reporting, we could be unable to accurately report our results of operations, meet our reporting obligations or prevent fraud, and investor confidence and the market price of the ADSs may be materially and adversely affected.”</w:t>
      </w:r>
    </w:p>
    <w:p>
      <w:pPr>
        <w:spacing w:after="0" w:line="164" w:lineRule="exact"/>
        <w:rPr>
          <w:sz w:val="20"/>
          <w:szCs w:val="20"/>
          <w:color w:val="auto"/>
        </w:rPr>
      </w:pPr>
    </w:p>
    <w:p>
      <w:pPr>
        <w:ind w:left="200" w:right="180" w:firstLine="434"/>
        <w:spacing w:after="0" w:line="256" w:lineRule="auto"/>
        <w:rPr>
          <w:sz w:val="20"/>
          <w:szCs w:val="20"/>
          <w:color w:val="auto"/>
        </w:rPr>
      </w:pPr>
      <w:r>
        <w:rPr>
          <w:rFonts w:ascii="Times New Roman" w:cs="Times New Roman" w:eastAsia="Times New Roman" w:hAnsi="Times New Roman"/>
          <w:sz w:val="18"/>
          <w:szCs w:val="18"/>
          <w:color w:val="auto"/>
        </w:rPr>
        <w:t>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14"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QuantaSing Group Limited is a holding company with no material operations of its own, and its business are primarily operated through our WFOE and the affiliated entities in China. As a result, our ability to pay dividends depends upon dividends paid by our subsidiaries and fees paid by the affiliated entities to our WFOE.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320" w:top="452" w:right="5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60"/>
        <w:spacing w:after="0" w:line="275" w:lineRule="auto"/>
        <w:rPr>
          <w:sz w:val="20"/>
          <w:szCs w:val="20"/>
          <w:color w:val="auto"/>
        </w:rPr>
      </w:pPr>
      <w:r>
        <w:rPr>
          <w:rFonts w:ascii="Times New Roman" w:cs="Times New Roman" w:eastAsia="Times New Roman" w:hAnsi="Times New Roman"/>
          <w:sz w:val="18"/>
          <w:szCs w:val="18"/>
          <w:color w:val="auto"/>
        </w:rPr>
        <w:t>If our existing subsidiaries or any newly formed ones incur debt on their own behalf in the future, the instruments governing their debt may restrict their ability to pay dividends to us.</w:t>
      </w:r>
    </w:p>
    <w:p>
      <w:pPr>
        <w:spacing w:after="0" w:line="164"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In addition, our WFOE is permitted to pay dividends to us only out of its retained earnings, if any, as determined in accordance with PRC accounting standards and regulations. Under PRC law, each of our WFOE and affiliated entities in China is required to set aside at least 10% of its after-tax profits each year, if any, to fund certain statutory reserve funds until such reserve funds reach 50% of their registered capital. In addition, our WFOE and the affiliated entities may allocate a portion of its after-tax profits based on PRC accounting standards to a surplus fund at its discretion. The statutory reserve funds and the discretionary funds are not distributable as cash dividends. Remittance of dividends by our WFOE out of China is subject to certain procedures with the banks designated by SAFE.</w:t>
      </w:r>
    </w:p>
    <w:p>
      <w:pPr>
        <w:spacing w:after="0" w:line="185"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fundraising activities to our WFOE only through loans or capital contributions and to the affiliated entities only through loans, in each case subject to the satisfaction of the applicable government registration and approval requirements.</w:t>
      </w:r>
    </w:p>
    <w:p>
      <w:pPr>
        <w:spacing w:after="0" w:line="176" w:lineRule="exact"/>
        <w:rPr>
          <w:sz w:val="20"/>
          <w:szCs w:val="20"/>
          <w:color w:val="auto"/>
        </w:rPr>
      </w:pPr>
    </w:p>
    <w:p>
      <w:pPr>
        <w:ind w:left="200" w:right="300" w:firstLine="434"/>
        <w:spacing w:after="0" w:line="275" w:lineRule="auto"/>
        <w:rPr>
          <w:sz w:val="20"/>
          <w:szCs w:val="20"/>
          <w:color w:val="auto"/>
        </w:rPr>
      </w:pPr>
      <w:r>
        <w:rPr>
          <w:rFonts w:ascii="Times New Roman" w:cs="Times New Roman" w:eastAsia="Times New Roman" w:hAnsi="Times New Roman"/>
          <w:sz w:val="18"/>
          <w:szCs w:val="18"/>
          <w:color w:val="auto"/>
        </w:rPr>
        <w:t>For details of the consolidated financial information relating to QuantaSing Group Limited, the affiliated entities and our non-VIE entities, see “Prospectus Summary — Summary Consolidated Financial and Operating Data — Financial Information Relating to the Affiliated Entities.”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16" w:lineRule="exact"/>
        <w:rPr>
          <w:sz w:val="20"/>
          <w:szCs w:val="20"/>
          <w:color w:val="auto"/>
        </w:rPr>
      </w:pPr>
    </w:p>
    <w:p>
      <w:pPr>
        <w:ind w:left="200" w:right="140" w:firstLine="434"/>
        <w:spacing w:after="0" w:line="256" w:lineRule="auto"/>
        <w:rPr>
          <w:sz w:val="20"/>
          <w:szCs w:val="20"/>
          <w:color w:val="auto"/>
        </w:rPr>
      </w:pPr>
      <w:r>
        <w:rPr>
          <w:rFonts w:ascii="Times New Roman" w:cs="Times New Roman" w:eastAsia="Times New Roman" w:hAnsi="Times New Roman"/>
          <w:sz w:val="18"/>
          <w:szCs w:val="18"/>
          <w:color w:val="auto"/>
        </w:rPr>
        <w:t>Our operating transactions are mainly denominated in RMB and, therefore, we are exposed to risks related to movements between Renminbi and U.S. dollars. To date, we have not entered into any hedging transactions in an effort to reduce our exposure to foreign currency exchange risk In addition, the value of your investment in the ADSs will be affected by the exchange rate between U.S. dollars and Renminbi because the value of our business is effectively denominated in Renminbi, and the ADSs will be traded in U.S. dollars.</w:t>
      </w:r>
    </w:p>
    <w:p>
      <w:pPr>
        <w:spacing w:after="0" w:line="181"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The value of Renminbi against U.S. dollars is subject to changes by the central government policies and to international economic and political developments, among other things. On July 21, 2005, the PRC government changed its policy of pegging the value of Renminbi to U.S. dollars. Since October 1, 2016, the Renminbi has joined the International Monetary Fund’s basket of currencies that make up the Special Drawing Right,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It is difficult to predict how market forces and government policies may impact the exchange rate between the U.S. dollars and Renminbi in the future. Since June 2010, the RMB has fluctuated against the US dollar, at times significantly and unpredictably. For instance, while appreciating approximately by 1% against the U.S. dollar in 2019, the Renminbi in 2020 and 2021 depreciated approximately by 6.3% and 2.3%, respectively, against the U.S. dollar. In August 2019, Renminbi once plunged to the weakest level against the U.S. dollar in more than a decade, which raised fears of further escalation in the Sino-US trade friction as the United States labeled China as a currency manipulator after such sharp depreciation. Since mid 2022, Renminbi has depreciated against the U.S. dollar under the joint impact of multiple factors, such as the tightening monetary policies of the United States. There is also no assurance that the Renminbi will not appreciate or depreciate significantly against the U.S. dollars in the future.</w:t>
      </w:r>
    </w:p>
    <w:p>
      <w:pPr>
        <w:spacing w:after="0" w:line="189" w:lineRule="exact"/>
        <w:rPr>
          <w:sz w:val="20"/>
          <w:szCs w:val="20"/>
          <w:color w:val="auto"/>
        </w:rPr>
      </w:pPr>
    </w:p>
    <w:p>
      <w:pPr>
        <w:jc w:val="both"/>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As of June 30, 2021 and 2022 and September 30, 2022, our cash and cash equivalents, restricted cash and short-term investments denominated in Renminbi were RMB54.7 million, RMB346.7 million and RMB414.1 million, respectively, accounting for 100.0%, 86.9% and 90.7% of our total cash and cash equivalents, restricted cash and short-term investments as of the same time, respectively.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2"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operations, appreciation of Renminbi against the U.S. dollar would reduce the Renminbi amount we receive from the conversion. Conversely, if we decide to convert Renminbi into U.S. dollars for the purpose of making payments for dividends on our ordinary shares or ADSs or for other business purposes, appreciation of the U.S. dollar against the Renminbi would reduce the U.S. dollar amounts available to us.</w:t>
      </w:r>
    </w:p>
    <w:p>
      <w:pPr>
        <w:spacing w:after="0" w:line="181" w:lineRule="exact"/>
        <w:rPr>
          <w:sz w:val="20"/>
          <w:szCs w:val="20"/>
          <w:color w:val="auto"/>
        </w:rPr>
      </w:pPr>
    </w:p>
    <w:p>
      <w:pPr>
        <w:ind w:left="200" w:right="100" w:firstLine="434"/>
        <w:spacing w:after="0" w:line="270" w:lineRule="auto"/>
        <w:rPr>
          <w:sz w:val="20"/>
          <w:szCs w:val="20"/>
          <w:color w:val="auto"/>
        </w:rPr>
      </w:pPr>
      <w:r>
        <w:rPr>
          <w:rFonts w:ascii="Times New Roman" w:cs="Times New Roman" w:eastAsia="Times New Roman" w:hAnsi="Times New Roman"/>
          <w:sz w:val="17"/>
          <w:szCs w:val="17"/>
          <w:color w:val="auto"/>
        </w:rPr>
        <w:t>We estimate that we will receive net proceeds of approximately US$35.1 million from this offering, after deducting underwriting discounts and commissions and the estimated offering expenses payable by us, assuming the underwriters do not exercise their option to purchase additional ADSs, based on the initial offering price of US$12.50 per ADS. Assuming that we convert the full amount of the net proceeds from this offering into RMB, a 10% appreciation of the U.S. dollar against RMB, from a rate of RMB7.1135 to US$1.00 to a rate of RMB7.8249 to US$1.00, will result in an increase of RMB25.0 million in our net proceeds from this offering. Conversely, a 10% depreciation of the U.S. dollar against the RMB, from a rate of RMB7.1135 to US$1.00 to a rate of RMB6.4022 to US$1.00, will result in a decrease of RMB25.0 million in our net proceeds from this offering.</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16"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No customers individually represented greater than 10% of our total revenues for the fiscal years ended June 30, 2021 and 2022 and the three months ended September 30, 2022. There were three, one and one customer individually represented more than 10% of our net accounts receivables as of June 30, 2021 and 2022 and September 30, 2022, respectively. There was one supplier, an advertising and marketing promotion agency, that individually represented more than 10% of our total costs and expenses for the fiscal year ended June 30, 2021. No suppliers individually represented more than 10% of our total costs and expenses for the fiscal year ended June 30, 2022 and the three months ended September 30, 2022.</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6" w:lineRule="exact"/>
        <w:rPr>
          <w:sz w:val="20"/>
          <w:szCs w:val="20"/>
          <w:color w:val="auto"/>
        </w:rPr>
      </w:pPr>
    </w:p>
    <w:p>
      <w:pPr>
        <w:jc w:val="both"/>
        <w:ind w:left="200" w:firstLine="434"/>
        <w:spacing w:after="0" w:line="283" w:lineRule="auto"/>
        <w:rPr>
          <w:sz w:val="20"/>
          <w:szCs w:val="20"/>
          <w:color w:val="auto"/>
        </w:rPr>
      </w:pPr>
      <w:r>
        <w:rPr>
          <w:rFonts w:ascii="Times New Roman" w:cs="Times New Roman" w:eastAsia="Times New Roman" w:hAnsi="Times New Roman"/>
          <w:sz w:val="17"/>
          <w:szCs w:val="17"/>
          <w:color w:val="auto"/>
        </w:rPr>
        <w:t>Financial instruments that potentially expose us to significant concentration of credit risk primarily consist of cash and cash equivalents and short-term investment. As of June 30, 2021 and 2022 and September 30, 2022, substantially all our cash and cash equivalents and short-term investments were held in major financial institutions located in mainland China and Hong Kong, which our management considered to be of high credit quality.</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14"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To date, the inflation in China has not materially affected our results of operations. According to the National Bureau of Statistics of China, the year-over-year percent changes in the consumer price index for December 2020 and 2021 were increases of 0.2% and 1.5%, respectively. Although our results of operations have not been materially affected by historical inflation, we may be affected if the inflation rate in China becomes higher in the future.</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w:t>
      </w:r>
    </w:p>
    <w:p>
      <w:pPr>
        <w:spacing w:after="0" w:line="114" w:lineRule="exact"/>
        <w:rPr>
          <w:sz w:val="20"/>
          <w:szCs w:val="20"/>
          <w:color w:val="auto"/>
        </w:rPr>
      </w:pPr>
    </w:p>
    <w:p>
      <w:pPr>
        <w:ind w:left="200" w:right="600" w:firstLine="434"/>
        <w:spacing w:after="0" w:line="275" w:lineRule="auto"/>
        <w:rPr>
          <w:sz w:val="20"/>
          <w:szCs w:val="20"/>
          <w:color w:val="auto"/>
        </w:rPr>
      </w:pPr>
      <w:r>
        <w:rPr>
          <w:rFonts w:ascii="Times New Roman" w:cs="Times New Roman" w:eastAsia="Times New Roman" w:hAnsi="Times New Roman"/>
          <w:sz w:val="18"/>
          <w:szCs w:val="18"/>
          <w:color w:val="auto"/>
        </w:rPr>
        <w:t>For information about our proprietary intellectual properties and our research and development policies, see “Business — Technology and Infrastructure” and “Business — Intellectual Property.”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4"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which requires our management to make judgments, estimates and assumptions. We continually evaluate these judgments, estimates and assumptions based on our own historical experience, knowledge and assessment of current business and other</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40"/>
          </w:cols>
          <w:pgMar w:left="320" w:top="452" w:right="5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20"/>
        <w:spacing w:after="0" w:line="256" w:lineRule="auto"/>
        <w:rPr>
          <w:sz w:val="20"/>
          <w:szCs w:val="20"/>
          <w:color w:val="auto"/>
        </w:rPr>
      </w:pPr>
      <w:r>
        <w:rPr>
          <w:rFonts w:ascii="Times New Roman" w:cs="Times New Roman" w:eastAsia="Times New Roman" w:hAnsi="Times New Roman"/>
          <w:sz w:val="18"/>
          <w:szCs w:val="18"/>
          <w:color w:val="auto"/>
        </w:rPr>
        <w:t>conditions, our expectations regarding the future based on available information and various assumptions that we believe to be reasonable, which together form our basis for making judgments about matters that are not readily apparent from other sources. Changes in facts and circumstances may result in revised estimates. Actual results could differ from those estimates, and as such, differences may be material to the consolidated financial statements.</w:t>
      </w:r>
    </w:p>
    <w:p>
      <w:pPr>
        <w:spacing w:after="0" w:line="181"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results of operations or financial condition.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prospectus.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based on the expected learning period of the customers</w:t>
      </w:r>
    </w:p>
    <w:p>
      <w:pPr>
        <w:spacing w:after="0" w:line="116"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Starting dates of the training camps delivery are pre-determined. Contractually, by accessing our online platforms, the paying learners retain access to the training camps or self-study e-learnings they purchased for a specified course period (typically 14 calendar days for a training camp and 90 calendar days for a self-study e-learning) from the training camp commencement date or the purchase date of the e-learnings. However, we in practice discretionally allow the paying learners to retain access to the course content beyond the corresponding contractual expiry dates. Therefore, we recognize online course revenue ratably over the longer of the corresponding contractual service period and the estimated average learning period of the paying learners, starting when the online courses can be accessed by the paying learners and the payments from the paying learners become non-refundable.</w:t>
      </w:r>
    </w:p>
    <w:p>
      <w:pPr>
        <w:spacing w:after="0" w:line="187" w:lineRule="exact"/>
        <w:rPr>
          <w:sz w:val="20"/>
          <w:szCs w:val="20"/>
          <w:color w:val="auto"/>
        </w:rPr>
      </w:pPr>
    </w:p>
    <w:p>
      <w:pPr>
        <w:jc w:val="both"/>
        <w:ind w:left="200" w:right="100" w:firstLine="434"/>
        <w:spacing w:after="0" w:line="283" w:lineRule="auto"/>
        <w:rPr>
          <w:sz w:val="20"/>
          <w:szCs w:val="20"/>
          <w:color w:val="auto"/>
        </w:rPr>
      </w:pPr>
      <w:r>
        <w:rPr>
          <w:rFonts w:ascii="Times New Roman" w:cs="Times New Roman" w:eastAsia="Times New Roman" w:hAnsi="Times New Roman"/>
          <w:sz w:val="17"/>
          <w:szCs w:val="17"/>
          <w:color w:val="auto"/>
        </w:rPr>
        <w:t>The average learning period for each course is subject to periodic assessment. We consider a variety of relevant data when estimating the average learning period of paying learners for each individual online course, including (1) the weighted-average number of days between paying learner’s first and last access to the course contents, and (2) the weighted average total hours spent by paying learners in learning the course contents.</w:t>
      </w:r>
    </w:p>
    <w:p>
      <w:pPr>
        <w:spacing w:after="0" w:line="159"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For the fiscal years ended June 30, 2021 and 2022 and the three months ended September 30, 2022, the average learning period of paying learners is estimated to range from one to three months. While we believe our estimates to be reasonable based on the currently available paying learner information, we may revise such estimates in the future according to the change in pattern of paying learners’ learning behavior. Any adjustments arising from changes in the estimates of the average learning periods is applied prospectively. Considering that the events or circumstances may change to suggest changes in the estimate be made, we assess the average learning period for different courses on an annual basis or more frequently when there is an indicator for changes in circumstances.</w:t>
      </w:r>
    </w:p>
    <w:p>
      <w:pPr>
        <w:spacing w:after="0" w:line="185"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Changes in assumptions or estimates can materially affect average learning period for different courses and, therefore, can affect the results in revenue recognition. In connection with our periodic reviews of the estimate, the assumptions are evaluated accordingly considering historical customers’ learning behavior and management’s judgment. Updates to these assumptions will affect the average learning period for each course and the revenue recognized accordingly. If the estimated average learning period is extended, the revenue will be recognized over a longer period and vice versa. See note 2 to our consolidated financial statements included elsewhere in this prospectus for additional information regarding our revenue recognition policies.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40"/>
          </w:cols>
          <w:pgMar w:left="320" w:top="452" w:right="5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 of options</w:t>
      </w:r>
    </w:p>
    <w:p>
      <w:pPr>
        <w:spacing w:after="0" w:line="114"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QuantaSing Group Limited, Witty network Limited and EW Technology Limited have granted options and restricted shares with their own underlying shares, and used the discounted cash flow method to determine the underlying equity fair value of us or the Predecessors and adopted an equity allocation model to determine the fair value of the underlying ordinary shares. The determination of estimated fair value of share-based payment awards on the grant date using binomial option pricing model is affected by the fair value of the ordinary shares as well as assumptions regarding a number of complex and subjective variables. These variables include the expected value volatility of the ordinary shares over the expected term of the awards, actual and projected employee share option exercise behaviors, a risk-free interest rate and any expected dividends. See “Dividend Policy” for details.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fair value of the options granted is estimated on the dates of grant using the binomial option pricing model with the following assumptions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used.</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31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4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w:t>
            </w:r>
          </w:p>
        </w:tc>
        <w:tc>
          <w:tcPr>
            <w:tcW w:w="0" w:type="dxa"/>
            <w:vAlign w:val="bottom"/>
          </w:tcPr>
          <w:p>
            <w:pPr>
              <w:spacing w:after="0"/>
              <w:rPr>
                <w:sz w:val="1"/>
                <w:szCs w:val="1"/>
                <w:color w:val="auto"/>
              </w:rPr>
            </w:pPr>
          </w:p>
        </w:tc>
      </w:tr>
      <w:tr>
        <w:trPr>
          <w:trHeight w:val="80"/>
        </w:trPr>
        <w:tc>
          <w:tcPr>
            <w:tcW w:w="628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66"/>
        </w:trPr>
        <w:tc>
          <w:tcPr>
            <w:tcW w:w="6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gridSpan w:val="3"/>
            <w:vMerge w:val="restart"/>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628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
        </w:trPr>
        <w:tc>
          <w:tcPr>
            <w:tcW w:w="628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40" w:type="dxa"/>
            <w:vAlign w:val="bottom"/>
            <w:gridSpan w:val="3"/>
            <w:vMerge w:val="restart"/>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60" w:type="dxa"/>
            <w:vAlign w:val="bottom"/>
            <w:gridSpan w:val="2"/>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6"/>
        </w:trPr>
        <w:tc>
          <w:tcPr>
            <w:tcW w:w="62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3"/>
                <w:szCs w:val="23"/>
                <w:color w:val="auto"/>
                <w:vertAlign w:val="superscript"/>
              </w:rPr>
              <w:t>(1)</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44.00%-52.18%</w:t>
            </w: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44.04%-45.32%</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46.01%</w:t>
            </w:r>
          </w:p>
        </w:tc>
        <w:tc>
          <w:tcPr>
            <w:tcW w:w="0" w:type="dxa"/>
            <w:vAlign w:val="bottom"/>
          </w:tcPr>
          <w:p>
            <w:pPr>
              <w:spacing w:after="0"/>
              <w:rPr>
                <w:sz w:val="1"/>
                <w:szCs w:val="1"/>
                <w:color w:val="auto"/>
              </w:rPr>
            </w:pPr>
          </w:p>
        </w:tc>
      </w:tr>
      <w:tr>
        <w:trPr>
          <w:trHeight w:val="213"/>
        </w:trPr>
        <w:tc>
          <w:tcPr>
            <w:tcW w:w="62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Risk-free interest rate (per annum)</w:t>
            </w:r>
            <w:r>
              <w:rPr>
                <w:rFonts w:ascii="Times New Roman" w:cs="Times New Roman" w:eastAsia="Times New Roman" w:hAnsi="Times New Roman"/>
                <w:sz w:val="24"/>
                <w:szCs w:val="24"/>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0.69%-1.69%</w:t>
            </w:r>
          </w:p>
        </w:tc>
        <w:tc>
          <w:tcPr>
            <w:tcW w:w="18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color w:val="auto"/>
                <w:w w:val="98"/>
              </w:rPr>
              <w:t>1.48%-2.39%</w:t>
            </w:r>
          </w:p>
        </w:tc>
        <w:tc>
          <w:tcPr>
            <w:tcW w:w="1460" w:type="dxa"/>
            <w:vAlign w:val="bottom"/>
            <w:gridSpan w:val="2"/>
          </w:tcPr>
          <w:p>
            <w:pPr>
              <w:jc w:val="center"/>
              <w:ind w:left="315"/>
              <w:spacing w:after="0"/>
              <w:rPr>
                <w:sz w:val="20"/>
                <w:szCs w:val="20"/>
                <w:color w:val="auto"/>
              </w:rPr>
            </w:pPr>
            <w:r>
              <w:rPr>
                <w:rFonts w:ascii="Times New Roman" w:cs="Times New Roman" w:eastAsia="Times New Roman" w:hAnsi="Times New Roman"/>
                <w:sz w:val="18"/>
                <w:szCs w:val="18"/>
                <w:color w:val="auto"/>
                <w:w w:val="98"/>
              </w:rPr>
              <w:t>3.15%</w:t>
            </w:r>
          </w:p>
        </w:tc>
        <w:tc>
          <w:tcPr>
            <w:tcW w:w="0" w:type="dxa"/>
            <w:vAlign w:val="bottom"/>
          </w:tcPr>
          <w:p>
            <w:pPr>
              <w:spacing w:after="0"/>
              <w:rPr>
                <w:sz w:val="1"/>
                <w:szCs w:val="1"/>
                <w:color w:val="auto"/>
              </w:rPr>
            </w:pPr>
          </w:p>
        </w:tc>
      </w:tr>
      <w:tr>
        <w:trPr>
          <w:trHeight w:val="213"/>
        </w:trPr>
        <w:tc>
          <w:tcPr>
            <w:tcW w:w="62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Expected dividend yield</w:t>
            </w:r>
            <w:r>
              <w:rPr>
                <w:rFonts w:ascii="Times New Roman" w:cs="Times New Roman" w:eastAsia="Times New Roman" w:hAnsi="Times New Roman"/>
                <w:sz w:val="24"/>
                <w:szCs w:val="24"/>
                <w:color w:val="auto"/>
                <w:vertAlign w:val="superscript"/>
              </w:rPr>
              <w:t>(3)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840" w:type="dxa"/>
            <w:vAlign w:val="bottom"/>
            <w:gridSpan w:val="3"/>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8"/>
              </w:rPr>
              <w:t>0.00%</w:t>
            </w:r>
          </w:p>
        </w:tc>
        <w:tc>
          <w:tcPr>
            <w:tcW w:w="146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13"/>
        </w:trPr>
        <w:tc>
          <w:tcPr>
            <w:tcW w:w="62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Expected term (in years)</w:t>
            </w:r>
            <w:r>
              <w:rPr>
                <w:rFonts w:ascii="Times New Roman" w:cs="Times New Roman" w:eastAsia="Times New Roman" w:hAnsi="Times New Roman"/>
                <w:sz w:val="24"/>
                <w:szCs w:val="24"/>
                <w:color w:val="auto"/>
                <w:vertAlign w:val="superscript"/>
              </w:rPr>
              <w:t>(4)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color w:val="auto"/>
                <w:w w:val="99"/>
              </w:rPr>
              <w:t>10</w:t>
            </w:r>
          </w:p>
        </w:tc>
        <w:tc>
          <w:tcPr>
            <w:tcW w:w="1460" w:type="dxa"/>
            <w:vAlign w:val="bottom"/>
            <w:gridSpan w:val="2"/>
          </w:tcPr>
          <w:p>
            <w:pPr>
              <w:jc w:val="center"/>
              <w:ind w:left="315"/>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 grants (US$)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0.50-2.80</w:t>
            </w:r>
          </w:p>
        </w:tc>
        <w:tc>
          <w:tcPr>
            <w:tcW w:w="1840" w:type="dxa"/>
            <w:vAlign w:val="bottom"/>
            <w:gridSpan w:val="3"/>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8"/>
              </w:rPr>
              <w:t>3.08-3.87</w:t>
            </w:r>
          </w:p>
        </w:tc>
        <w:tc>
          <w:tcPr>
            <w:tcW w:w="146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5"/>
              </w:rPr>
              <w:t>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620" w:right="200" w:hanging="421"/>
        <w:spacing w:after="0" w:line="257"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expected volatility based on the annualized standard deviation of the daily return embedded in historical share prices of comparable companies with a time horizon close to the expected expiry of the term.</w:t>
      </w:r>
    </w:p>
    <w:p>
      <w:pPr>
        <w:spacing w:after="0" w:line="1" w:lineRule="exact"/>
        <w:rPr>
          <w:rFonts w:ascii="Times New Roman" w:cs="Times New Roman" w:eastAsia="Times New Roman" w:hAnsi="Times New Roman"/>
          <w:sz w:val="18"/>
          <w:szCs w:val="18"/>
          <w:color w:val="auto"/>
        </w:rPr>
      </w:pPr>
    </w:p>
    <w:p>
      <w:pPr>
        <w:ind w:left="620" w:right="20" w:hanging="421"/>
        <w:spacing w:after="0" w:line="246"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risk-free interest rate based on the daily treasury long-term rate of U.S. Department of the Treasury with a maturity period close to the contract term of the options.</w:t>
      </w:r>
    </w:p>
    <w:p>
      <w:pPr>
        <w:spacing w:after="0" w:line="1" w:lineRule="exact"/>
        <w:rPr>
          <w:rFonts w:ascii="Times New Roman" w:cs="Times New Roman" w:eastAsia="Times New Roman" w:hAnsi="Times New Roman"/>
          <w:sz w:val="18"/>
          <w:szCs w:val="18"/>
          <w:color w:val="auto"/>
        </w:rPr>
      </w:pPr>
    </w:p>
    <w:p>
      <w:pPr>
        <w:ind w:left="620" w:right="200" w:hanging="421"/>
        <w:spacing w:after="0" w:line="246"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the Predecessors, have declared or paid any cash dividends on our capital stock, and we do not anticipate any dividend payments on our ordinary shares in the foreseeable future.</w:t>
      </w:r>
    </w:p>
    <w:p>
      <w:pPr>
        <w:spacing w:after="0" w:line="1" w:lineRule="exact"/>
        <w:rPr>
          <w:rFonts w:ascii="Times New Roman" w:cs="Times New Roman" w:eastAsia="Times New Roman" w:hAnsi="Times New Roman"/>
          <w:sz w:val="18"/>
          <w:szCs w:val="18"/>
          <w:color w:val="auto"/>
        </w:rPr>
      </w:pPr>
    </w:p>
    <w:p>
      <w:pPr>
        <w:ind w:left="620" w:hanging="421"/>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contract life of the option.</w:t>
      </w:r>
    </w:p>
    <w:p>
      <w:pPr>
        <w:spacing w:after="0" w:line="5" w:lineRule="exact"/>
        <w:rPr>
          <w:rFonts w:ascii="Times New Roman" w:cs="Times New Roman" w:eastAsia="Times New Roman" w:hAnsi="Times New Roman"/>
          <w:sz w:val="18"/>
          <w:szCs w:val="18"/>
          <w:color w:val="auto"/>
        </w:rPr>
      </w:pPr>
    </w:p>
    <w:p>
      <w:pPr>
        <w:ind w:left="640" w:right="3280" w:hanging="441"/>
        <w:spacing w:after="0" w:line="482" w:lineRule="auto"/>
        <w:tabs>
          <w:tab w:leader="none" w:pos="6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fair value of underlying ordinary shares with the assistance of a third-party appraiser. Assumptions are updated at each grant date of new stock options.</w:t>
      </w:r>
    </w:p>
    <w:p>
      <w:pPr>
        <w:ind w:left="200" w:right="40" w:firstLine="434"/>
        <w:spacing w:after="0" w:line="275" w:lineRule="auto"/>
        <w:rPr>
          <w:sz w:val="20"/>
          <w:szCs w:val="20"/>
          <w:color w:val="auto"/>
        </w:rPr>
      </w:pPr>
      <w:r>
        <w:rPr>
          <w:rFonts w:ascii="Times New Roman" w:cs="Times New Roman" w:eastAsia="Times New Roman" w:hAnsi="Times New Roman"/>
          <w:sz w:val="18"/>
          <w:szCs w:val="18"/>
          <w:color w:val="auto"/>
        </w:rPr>
        <w:t>See note 14 of to our consolidated financial statements included elsewhere in this prospectus for more information regarding accounting for share-based compensation.</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 of ordinary shares</w:t>
      </w:r>
    </w:p>
    <w:p>
      <w:pPr>
        <w:spacing w:after="0" w:line="114" w:lineRule="exact"/>
        <w:rPr>
          <w:sz w:val="20"/>
          <w:szCs w:val="20"/>
          <w:color w:val="auto"/>
        </w:rPr>
      </w:pPr>
    </w:p>
    <w:p>
      <w:pPr>
        <w:ind w:left="200" w:right="460" w:firstLine="434"/>
        <w:spacing w:after="0" w:line="256" w:lineRule="auto"/>
        <w:rPr>
          <w:sz w:val="20"/>
          <w:szCs w:val="20"/>
          <w:color w:val="auto"/>
        </w:rPr>
      </w:pPr>
      <w:r>
        <w:rPr>
          <w:rFonts w:ascii="Times New Roman" w:cs="Times New Roman" w:eastAsia="Times New Roman" w:hAnsi="Times New Roman"/>
          <w:sz w:val="18"/>
          <w:szCs w:val="18"/>
          <w:color w:val="auto"/>
        </w:rPr>
        <w:t>In determining our equity value, we applied the discounted cash flow method to determine the underlying equity fair value of us or the Predecessors based on our projected cash flows using our best estimate as of the valuation date. The determination of the fair value of our ordinary shares requires complex and subjective judgments to be made regarding our projected financial and operating results, unique business risks, and operating history and prospects at the time of valuation, as well as the liquidity of our shares.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60"/>
          </w:cols>
          <w:pgMar w:left="320" w:top="452"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firstLine="434"/>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fair value of the Predecessors’ ordinary shares before the restructuring and spin-off estimated at the grant dates of share options with the assistance from an independent valuation firm.</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80" w:type="dxa"/>
            <w:vAlign w:val="bottom"/>
            <w:gridSpan w:val="3"/>
            <w:vMerge w:val="restart"/>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Discount for Lack of</w:t>
            </w:r>
          </w:p>
        </w:tc>
        <w:tc>
          <w:tcPr>
            <w:tcW w:w="2300" w:type="dxa"/>
            <w:vAlign w:val="bottom"/>
            <w:gridSpan w:val="3"/>
            <w:vMerge w:val="restart"/>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w w:val="99"/>
              </w:rPr>
              <w:t>Weighted Average Costs</w:t>
            </w:r>
          </w:p>
        </w:tc>
        <w:tc>
          <w:tcPr>
            <w:tcW w:w="0" w:type="dxa"/>
            <w:vAlign w:val="bottom"/>
          </w:tcPr>
          <w:p>
            <w:pPr>
              <w:spacing w:after="0"/>
              <w:rPr>
                <w:sz w:val="1"/>
                <w:szCs w:val="1"/>
                <w:color w:val="auto"/>
              </w:rPr>
            </w:pPr>
          </w:p>
        </w:tc>
      </w:tr>
      <w:tr>
        <w:trPr>
          <w:trHeight w:val="146"/>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17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3280" w:type="dxa"/>
            <w:vAlign w:val="bottom"/>
            <w:gridSpan w:val="3"/>
            <w:vMerge w:val="continue"/>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vMerge w:val="continue"/>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(US$)</w:t>
            </w:r>
          </w:p>
        </w:tc>
        <w:tc>
          <w:tcPr>
            <w:tcW w:w="12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Marketability</w:t>
            </w:r>
          </w:p>
        </w:tc>
        <w:tc>
          <w:tcPr>
            <w:tcW w:w="7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Capital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2020</w:t>
            </w: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6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20.00%</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17.25%</w:t>
            </w: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17.00%</w:t>
            </w:r>
          </w:p>
        </w:tc>
        <w:tc>
          <w:tcPr>
            <w:tcW w:w="2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15.00%</w:t>
            </w: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2021</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12.00%</w:t>
            </w:r>
          </w:p>
        </w:tc>
        <w:tc>
          <w:tcPr>
            <w:tcW w:w="2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12.00%</w:t>
            </w: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11.75%</w:t>
            </w:r>
          </w:p>
        </w:tc>
        <w:tc>
          <w:tcPr>
            <w:tcW w:w="2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May 31, 2022</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11.75%</w:t>
            </w: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right="40" w:firstLine="434"/>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fair value of our ordinary shares subsequent to the restructuring and spin-off estimated at the grant dates of share options with the assistance from an independent valuation firm.</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300" w:type="dxa"/>
            <w:vAlign w:val="bottom"/>
            <w:gridSpan w:val="3"/>
            <w:vMerge w:val="restart"/>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Discount for Lack of</w:t>
            </w:r>
          </w:p>
        </w:tc>
        <w:tc>
          <w:tcPr>
            <w:tcW w:w="2300" w:type="dxa"/>
            <w:vAlign w:val="bottom"/>
            <w:gridSpan w:val="3"/>
            <w:vMerge w:val="restart"/>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w w:val="99"/>
              </w:rPr>
              <w:t>Weighted Average Costs</w:t>
            </w:r>
          </w:p>
        </w:tc>
        <w:tc>
          <w:tcPr>
            <w:tcW w:w="0" w:type="dxa"/>
            <w:vAlign w:val="bottom"/>
          </w:tcPr>
          <w:p>
            <w:pPr>
              <w:spacing w:after="0"/>
              <w:rPr>
                <w:sz w:val="1"/>
                <w:szCs w:val="1"/>
                <w:color w:val="auto"/>
              </w:rPr>
            </w:pPr>
          </w:p>
        </w:tc>
      </w:tr>
      <w:tr>
        <w:trPr>
          <w:trHeight w:val="146"/>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17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3300" w:type="dxa"/>
            <w:vAlign w:val="bottom"/>
            <w:gridSpan w:val="3"/>
            <w:vMerge w:val="continue"/>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(US$)</w:t>
            </w:r>
          </w:p>
        </w:tc>
        <w:tc>
          <w:tcPr>
            <w:tcW w:w="1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Marketability</w:t>
            </w:r>
          </w:p>
        </w:tc>
        <w:tc>
          <w:tcPr>
            <w:tcW w:w="7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Capital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2022</w:t>
            </w:r>
          </w:p>
        </w:tc>
        <w:tc>
          <w:tcPr>
            <w:tcW w:w="1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8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11.75%</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August 31, 2022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8.50%</w:t>
            </w: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right="340" w:firstLine="434"/>
        <w:spacing w:after="0" w:line="252" w:lineRule="auto"/>
        <w:rPr>
          <w:sz w:val="20"/>
          <w:szCs w:val="20"/>
          <w:color w:val="auto"/>
        </w:rPr>
      </w:pPr>
      <w:r>
        <w:rPr>
          <w:rFonts w:ascii="Times New Roman" w:cs="Times New Roman" w:eastAsia="Times New Roman" w:hAnsi="Times New Roman"/>
          <w:sz w:val="18"/>
          <w:szCs w:val="18"/>
          <w:color w:val="auto"/>
        </w:rPr>
        <w:t>The income approach involves applying appropriate weighted average costs of capital (“WACCs”) to estimated cash flows that are based on earnings forecasts. Our revenues and earnings growth rates, as well as major milestones that we have achieved, contributed to the increase in the fair value of our ordinary shares from July 1, 2020 to August 31, 2022. The assumptions used in deriving the fair values are consistent with our business plan. These assumptions include: (1) no material changes in the existing political, legal and economic conditions in China; (2) our ability to retain competent management, key personnel and staff to support ongoing operations; and (3) no material deviation in market conditions from economic forecasts. These assumptions are inherently uncertain.</w:t>
      </w:r>
    </w:p>
    <w:p>
      <w:pPr>
        <w:spacing w:after="0" w:line="185"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The hybrid method, comprising of the probability-weighted expected return method and the option pricing method, was used to allocate equity value of our company to preferred and ordinary shares, considering the guidance prescribed by the AICPA Audit and Accounting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 The higher the volatility, the greater the potential change in the fair value of ordinary shares.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major assumptions used in calculating the fair value of ordinary shares include:</w:t>
      </w:r>
    </w:p>
    <w:p>
      <w:pPr>
        <w:spacing w:after="0" w:line="123" w:lineRule="exact"/>
        <w:rPr>
          <w:sz w:val="20"/>
          <w:szCs w:val="20"/>
          <w:color w:val="auto"/>
        </w:rPr>
      </w:pPr>
    </w:p>
    <w:p>
      <w:pPr>
        <w:ind w:left="1160" w:right="260" w:hanging="429"/>
        <w:spacing w:after="0" w:line="277"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WACCs: </w:t>
      </w:r>
      <w:r>
        <w:rPr>
          <w:rFonts w:ascii="Times New Roman" w:cs="Times New Roman" w:eastAsia="Times New Roman" w:hAnsi="Times New Roman"/>
          <w:sz w:val="18"/>
          <w:szCs w:val="18"/>
          <w:color w:val="auto"/>
        </w:rPr>
        <w:t>WACCs were determined based on a consideration of the factors including risk-free rate, comparative industry risk, equity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company size and non-systematic risk factors.</w:t>
      </w:r>
    </w:p>
    <w:p>
      <w:pPr>
        <w:spacing w:after="0" w:line="67" w:lineRule="exact"/>
        <w:rPr>
          <w:rFonts w:ascii="Times New Roman" w:cs="Times New Roman" w:eastAsia="Times New Roman" w:hAnsi="Times New Roman"/>
          <w:sz w:val="18"/>
          <w:szCs w:val="18"/>
          <w:color w:val="auto"/>
        </w:rPr>
      </w:pPr>
    </w:p>
    <w:p>
      <w:pPr>
        <w:ind w:left="1160" w:right="300" w:hanging="429"/>
        <w:spacing w:after="0" w:line="284" w:lineRule="auto"/>
        <w:tabs>
          <w:tab w:leader="none" w:pos="11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Comparable companies: </w:t>
      </w:r>
      <w:r>
        <w:rPr>
          <w:rFonts w:ascii="Times New Roman" w:cs="Times New Roman" w:eastAsia="Times New Roman" w:hAnsi="Times New Roman"/>
          <w:sz w:val="17"/>
          <w:szCs w:val="17"/>
          <w:color w:val="auto"/>
        </w:rPr>
        <w:t>In deriving the weighted average cost of capital used as the discount rates under the income approach,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publicly traded companies were selected for reference as our guideline companies. The guideline companies were selected based on the following criteria: (i) they operate in the online education service industry and (ii) their shares are publicly traded in the United States.</w:t>
      </w:r>
    </w:p>
    <w:p>
      <w:pPr>
        <w:spacing w:after="0" w:line="63" w:lineRule="exact"/>
        <w:rPr>
          <w:rFonts w:ascii="Times New Roman" w:cs="Times New Roman" w:eastAsia="Times New Roman" w:hAnsi="Times New Roman"/>
          <w:sz w:val="17"/>
          <w:szCs w:val="17"/>
          <w:color w:val="auto"/>
        </w:rPr>
      </w:pPr>
    </w:p>
    <w:p>
      <w:pPr>
        <w:ind w:left="1160" w:right="160" w:hanging="429"/>
        <w:spacing w:after="0" w:line="262"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for lack of marketability: </w:t>
      </w:r>
      <w:r>
        <w:rPr>
          <w:rFonts w:ascii="Times New Roman" w:cs="Times New Roman" w:eastAsia="Times New Roman" w:hAnsi="Times New Roman"/>
          <w:sz w:val="18"/>
          <w:szCs w:val="18"/>
          <w:color w:val="auto"/>
        </w:rPr>
        <w:t>The discount for lack of marketability (“DLOM”) was quantified by the Finnerty’s Average-Strike 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mode. Under this option-pricing method, which assumed that the put option is struck at the average price of the stock before the privately held shares can be sold, the cost of the put option was considered as a basis to determine the DLOM.</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2" w:right="5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estimates the effect of changes in key assumptions on the consolidated financial statements.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Increase/(Decrease) of share-based compensation expenses</w:t>
            </w:r>
          </w:p>
        </w:tc>
        <w:tc>
          <w:tcPr>
            <w:tcW w:w="0" w:type="dxa"/>
            <w:vAlign w:val="bottom"/>
          </w:tcPr>
          <w:p>
            <w:pPr>
              <w:spacing w:after="0"/>
              <w:rPr>
                <w:sz w:val="1"/>
                <w:szCs w:val="1"/>
                <w:color w:val="auto"/>
              </w:rPr>
            </w:pPr>
          </w:p>
        </w:tc>
      </w:tr>
      <w:tr>
        <w:trPr>
          <w:trHeight w:val="17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86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Basic Point</w:t>
            </w:r>
          </w:p>
        </w:tc>
        <w:tc>
          <w:tcPr>
            <w:tcW w:w="4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0" w:type="dxa"/>
            <w:vAlign w:val="bottom"/>
          </w:tcPr>
          <w:p>
            <w:pPr>
              <w:spacing w:after="0"/>
              <w:rPr>
                <w:sz w:val="1"/>
                <w:szCs w:val="1"/>
                <w:color w:val="auto"/>
              </w:rPr>
            </w:pPr>
          </w:p>
        </w:tc>
      </w:tr>
      <w:tr>
        <w:trPr>
          <w:trHeight w:val="133"/>
        </w:trPr>
        <w:tc>
          <w:tcPr>
            <w:tcW w:w="3220" w:type="dxa"/>
            <w:vAlign w:val="bottom"/>
            <w:gridSpan w:val="2"/>
            <w:vMerge w:val="continue"/>
          </w:tcPr>
          <w:p>
            <w:pPr>
              <w:spacing w:after="0"/>
              <w:rPr>
                <w:sz w:val="11"/>
                <w:szCs w:val="11"/>
                <w:color w:val="auto"/>
              </w:rPr>
            </w:pPr>
          </w:p>
        </w:tc>
        <w:tc>
          <w:tcPr>
            <w:tcW w:w="1860" w:type="dxa"/>
            <w:vAlign w:val="bottom"/>
          </w:tcPr>
          <w:p>
            <w:pPr>
              <w:spacing w:after="0"/>
              <w:rPr>
                <w:sz w:val="11"/>
                <w:szCs w:val="11"/>
                <w:color w:val="auto"/>
              </w:rPr>
            </w:pPr>
          </w:p>
        </w:tc>
        <w:tc>
          <w:tcPr>
            <w:tcW w:w="1540" w:type="dxa"/>
            <w:vAlign w:val="bottom"/>
            <w:gridSpan w:val="2"/>
          </w:tcPr>
          <w:p>
            <w:pPr>
              <w:jc w:val="center"/>
              <w:ind w:right="7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Borders>
              <w:top w:val="single" w:sz="8" w:color="auto"/>
            </w:tcBorders>
          </w:tcPr>
          <w:p>
            <w:pPr>
              <w:jc w:val="center"/>
              <w:ind w:left="22"/>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720" w:type="dxa"/>
            <w:vAlign w:val="bottom"/>
            <w:tcBorders>
              <w:top w:val="single" w:sz="8" w:color="auto"/>
            </w:tcBorders>
          </w:tcPr>
          <w:p>
            <w:pPr>
              <w:jc w:val="right"/>
              <w:ind w:right="740"/>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40" w:type="dxa"/>
            <w:vAlign w:val="bottom"/>
            <w:tcBorders>
              <w:top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jc w:val="center"/>
              <w:ind w:right="1380"/>
              <w:spacing w:after="0" w:line="14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Forecasted revenue</w:t>
            </w:r>
          </w:p>
        </w:tc>
        <w:tc>
          <w:tcPr>
            <w:tcW w:w="1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 10%</w:t>
            </w:r>
          </w:p>
        </w:tc>
        <w:tc>
          <w:tcPr>
            <w:tcW w:w="146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99"/>
              </w:rPr>
              <w:t>9,512/(9,686)</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32,875/(33,071)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WACC</w:t>
            </w:r>
          </w:p>
        </w:tc>
        <w:tc>
          <w:tcPr>
            <w:tcW w:w="3400" w:type="dxa"/>
            <w:vAlign w:val="bottom"/>
            <w:gridSpan w:val="3"/>
          </w:tcPr>
          <w:p>
            <w:pPr>
              <w:jc w:val="center"/>
              <w:ind w:left="1051"/>
              <w:spacing w:after="0"/>
              <w:rPr>
                <w:sz w:val="20"/>
                <w:szCs w:val="20"/>
                <w:color w:val="auto"/>
              </w:rPr>
            </w:pPr>
            <w:r>
              <w:rPr>
                <w:rFonts w:ascii="Times New Roman" w:cs="Times New Roman" w:eastAsia="Times New Roman" w:hAnsi="Times New Roman"/>
                <w:sz w:val="18"/>
                <w:szCs w:val="18"/>
                <w:color w:val="auto"/>
                <w:w w:val="96"/>
              </w:rPr>
              <w:t>+/– 100 bps</w:t>
            </w:r>
          </w:p>
        </w:tc>
        <w:tc>
          <w:tcPr>
            <w:tcW w:w="1460" w:type="dxa"/>
            <w:vAlign w:val="bottom"/>
          </w:tcPr>
          <w:p>
            <w:pPr>
              <w:jc w:val="center"/>
              <w:ind w:left="2"/>
              <w:spacing w:after="0"/>
              <w:rPr>
                <w:sz w:val="20"/>
                <w:szCs w:val="20"/>
                <w:color w:val="auto"/>
              </w:rPr>
            </w:pPr>
            <w:r>
              <w:rPr>
                <w:rFonts w:ascii="Times New Roman" w:cs="Times New Roman" w:eastAsia="Times New Roman" w:hAnsi="Times New Roman"/>
                <w:sz w:val="18"/>
                <w:szCs w:val="18"/>
                <w:color w:val="auto"/>
                <w:w w:val="99"/>
              </w:rPr>
              <w:t>(5,910)/6,558</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(18,112)/20,122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right="200" w:firstLine="434"/>
        <w:spacing w:after="0" w:line="275" w:lineRule="auto"/>
        <w:rPr>
          <w:sz w:val="20"/>
          <w:szCs w:val="20"/>
          <w:color w:val="auto"/>
        </w:rPr>
      </w:pPr>
      <w:r>
        <w:rPr>
          <w:rFonts w:ascii="Times New Roman" w:cs="Times New Roman" w:eastAsia="Times New Roman" w:hAnsi="Times New Roman"/>
          <w:sz w:val="18"/>
          <w:szCs w:val="18"/>
          <w:color w:val="auto"/>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164" w:lineRule="exact"/>
        <w:rPr>
          <w:sz w:val="20"/>
          <w:szCs w:val="20"/>
          <w:color w:val="auto"/>
        </w:rPr>
      </w:pPr>
    </w:p>
    <w:p>
      <w:pPr>
        <w:ind w:left="200" w:right="220" w:firstLine="434"/>
        <w:spacing w:after="0" w:line="256"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regularly re-evaluate our assumptions, judgments and estimates. For details of our accounting policies and significant judgments and estimates used in the preparation of our financial statements, see note 2 to our consolidated financial statements included elsewhere in this prospectus.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4" w:lineRule="exact"/>
        <w:rPr>
          <w:sz w:val="20"/>
          <w:szCs w:val="20"/>
          <w:color w:val="auto"/>
        </w:rPr>
      </w:pPr>
    </w:p>
    <w:p>
      <w:pPr>
        <w:ind w:left="200" w:right="540" w:firstLine="434"/>
        <w:spacing w:after="0" w:line="275" w:lineRule="auto"/>
        <w:rPr>
          <w:sz w:val="20"/>
          <w:szCs w:val="20"/>
          <w:color w:val="auto"/>
        </w:rPr>
      </w:pPr>
      <w:r>
        <w:rPr>
          <w:rFonts w:ascii="Times New Roman" w:cs="Times New Roman" w:eastAsia="Times New Roman" w:hAnsi="Times New Roman"/>
          <w:sz w:val="18"/>
          <w:szCs w:val="18"/>
          <w:color w:val="auto"/>
        </w:rPr>
        <w:t>For detailed discussion of recent accounting pronouncements, see note 2 to our consolidated financial statements included elsewhere in this prospectus.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14" w:lineRule="exact"/>
        <w:rPr>
          <w:sz w:val="20"/>
          <w:szCs w:val="20"/>
          <w:color w:val="auto"/>
        </w:rPr>
      </w:pPr>
    </w:p>
    <w:p>
      <w:pPr>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prospectus, we are not aware of any trends, uncertainties, demands, commitments or events since September 30, 2022 that are reasonably likely to have a material adverse effect on our revenues, income, profitability, liquidity or capital resources, or that would cause the disclosed financial information to be not necessarily indicative of future results of operations or financial condition.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60"/>
          </w:cols>
          <w:pgMar w:left="320" w:top="452" w:right="5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18" w:lineRule="exact"/>
        <w:rPr>
          <w:sz w:val="20"/>
          <w:szCs w:val="20"/>
          <w:color w:val="auto"/>
        </w:rPr>
      </w:pPr>
    </w:p>
    <w:p>
      <w:pPr>
        <w:ind w:left="200" w:right="80" w:firstLine="434"/>
        <w:spacing w:after="0" w:line="308" w:lineRule="auto"/>
        <w:rPr>
          <w:sz w:val="20"/>
          <w:szCs w:val="20"/>
          <w:color w:val="auto"/>
        </w:rPr>
      </w:pPr>
      <w:r>
        <w:rPr>
          <w:rFonts w:ascii="Times New Roman" w:cs="Times New Roman" w:eastAsia="Times New Roman" w:hAnsi="Times New Roman"/>
          <w:sz w:val="17"/>
          <w:szCs w:val="17"/>
          <w:i w:val="1"/>
          <w:iCs w:val="1"/>
          <w:color w:val="auto"/>
        </w:rPr>
        <w:t>The information presented in this section has been derived from an industry report commissioned by us and issued in September 2022 by Frost &amp; Sullivan, an independent research firm, or the F&amp;S report, to provide information regarding our industry and our market position in China.</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 of China’s Adult Learning Market</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Benefiting from the significant growth of the Chinese economy and per capita disposable income over the past decades, there has been a gradual awakening by the general public to more diverse needs in pursuing personal development and lifelong learning in China, which has in turn driven the fast growth of China’s adult learning market. Adult learning refers to the provision of courses to adults who wish to acquire knowledge and skills or to adults in workplaces that require the completion of professional trainings. Specifically, adult learning excludes the provision of courses to prepare adults for obtaining degrees or diplomas granted by the Ministry of Education or other education authorities in China. According to the F&amp;S report, the market size of China’s adult learning market, in terms of revenue, increased rapidly from RMB383.3 billion in 2017 to RMB566.4 billion (US$87.7 billion) in 2021, at a CAGR of 10.3%, and is expected to further increase to RMB994.7 billion (US$154.1 billion) in 2026, at a CAGR of 11.9% from 2021 to 2026.</w:t>
      </w:r>
    </w:p>
    <w:p>
      <w:pPr>
        <w:spacing w:after="0" w:line="190"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Since early 2020, the COVID-19 pandemic has significantly changed people’s life and business operations, including how adult learning is achieved. Driven in part by technological advancements, there has been a growing offline-to-online shift in the online adult learning market. Individuals and enterprises have developed greater recognition of the online learning mode and begun to engage in online learning activities, creating a sustained trend. As a result, the online adult learning market, both in China and globally, has experienced a faster growth compared to the offline market and is expected to further increase its penetration rate in the near future.</w:t>
      </w:r>
    </w:p>
    <w:p>
      <w:pPr>
        <w:spacing w:after="0" w:line="185" w:lineRule="exact"/>
        <w:rPr>
          <w:sz w:val="20"/>
          <w:szCs w:val="20"/>
          <w:color w:val="auto"/>
        </w:rPr>
      </w:pPr>
    </w:p>
    <w:p>
      <w:pPr>
        <w:ind w:left="200" w:right="140" w:firstLine="434"/>
        <w:spacing w:after="0" w:line="249" w:lineRule="auto"/>
        <w:rPr>
          <w:sz w:val="20"/>
          <w:szCs w:val="20"/>
          <w:color w:val="auto"/>
        </w:rPr>
      </w:pPr>
      <w:r>
        <w:rPr>
          <w:rFonts w:ascii="Times New Roman" w:cs="Times New Roman" w:eastAsia="Times New Roman" w:hAnsi="Times New Roman"/>
          <w:sz w:val="18"/>
          <w:szCs w:val="18"/>
          <w:color w:val="auto"/>
        </w:rPr>
        <w:t>China’s online adult learning market has experienced, and is expected to sustain, a significantly higher growth rate than that of the offline segment, primarily driven by technological advances that made online learning more accessible, affordable and effective, and shifts in customer perception that increasingly consider online learning as a useful tool for personal development. China’s online adult learning market, in terms of revenue, increased from RMB44.1 billion in 2017 to RMB126.4 billion (US$19.6 billion) in 2021, at a CAGR of 30.1%, and is expected to reach RMB288.1 billion (US$44.6 billion) in 2026, at a CAGR of 17.9% from 2021 to 2026. In contrast, China’s adult offline learning market, in terms of revenue, increased from RMB339.2 billion in 2017 to RMB440.0 billion (US$68.1 billion) in 2021, at a CAGR of 6.7%, and is expected to reach RMB706.6 billion (US$109.4 billion) in 2026, at a CAGR of 9.9% from 2021 to 2026. As a result, the market share of online adult learning market of the overall adult learning market in China, in terms of revenue, increased significantly from 11.5% in 2017 to 22.3% in 2021, and is expected to reach 29.0% in 2026. The following chart sets forth the historical and expected market size of China’s adult learning market, in terms of revenue, for the periods indicated.</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320" w:top="452" w:right="5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201930</wp:posOffset>
            </wp:positionV>
            <wp:extent cx="5107940" cy="1840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07940"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114" w:lineRule="exact"/>
        <w:rPr>
          <w:sz w:val="20"/>
          <w:szCs w:val="20"/>
          <w:color w:val="auto"/>
        </w:rPr>
      </w:pPr>
    </w:p>
    <w:p>
      <w:pPr>
        <w:ind w:left="200" w:right="220" w:firstLine="434"/>
        <w:spacing w:after="0" w:line="256" w:lineRule="auto"/>
        <w:rPr>
          <w:sz w:val="20"/>
          <w:szCs w:val="20"/>
          <w:color w:val="auto"/>
        </w:rPr>
      </w:pPr>
      <w:r>
        <w:rPr>
          <w:rFonts w:ascii="Times New Roman" w:cs="Times New Roman" w:eastAsia="Times New Roman" w:hAnsi="Times New Roman"/>
          <w:sz w:val="18"/>
          <w:szCs w:val="18"/>
          <w:color w:val="auto"/>
        </w:rPr>
        <w:t>The major consumers of China’s adult learning services include both individuals and enterprises. Individual learners mainly focus on acquiring knowledge and skills, rather than obtaining official degrees or diplomas, and the course offerings in this sector can be generally divided into personal interest learning, individual professional training, language learning, and college test preparation. Enterprise consumers mainly focus on offering professional training to their employees.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China’s Individual Adult Learning Market</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individual adult learning market</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China’s individual adult learning market has experienced a significant growth in recent years. The market size of China’s individual adult learning market, in terms of revenue, increased from RMB276.3 billion in 2017 to RMB428.5 billion (US$66.4 billion) in 2021, at a CAGR of 11.6%, and is expected to reach RMB763.5 billion (US$118.3 billion) in 2026, at a CAGR of 12.2% from 2021 to 2026. The personal interest learning market, in terms of revenue, has grown rapidly in the past few years and is expected to grow at a CAGR of 16.8% from 2021 to 2026, the fastest rate among all individual adult learning market segments. The following chart sets forth the historical and expected market size of China’s individual adult learning market,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146050</wp:posOffset>
            </wp:positionV>
            <wp:extent cx="5107940" cy="1857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07940" cy="185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320" w:top="452" w:right="5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adult learning market for personal interest courses</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The adult learning market for personal interest courses caters for the growing need of personal improvement and learning in leisure time of the mass market. Adult personal interest learning aims to fulfill adults’ interests and pursuits in various fields of their life, such as financial literacy, physical and mental well-being, arts and music. The market size of China’s adult learning market for personal interest courses, in terms of revenue, increased from RMB95.6 billion in 2017 to RMB139.9 billion (US$21.7 billion) in 2021, at a CAGR of 10.0%, and is expected to reach RMB304.2 billion (US$47.1 billion) in 2026, at a CAGR of 16.8% from 2021 to 2026. The following chart sets forth the historical and expected market size of China’s adult learning market for personal interest courses,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146050</wp:posOffset>
            </wp:positionV>
            <wp:extent cx="5023485" cy="1831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23485" cy="183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220" w:lineRule="exact"/>
        <w:rPr>
          <w:sz w:val="20"/>
          <w:szCs w:val="20"/>
          <w:color w:val="auto"/>
        </w:rPr>
      </w:pPr>
    </w:p>
    <w:p>
      <w:pPr>
        <w:ind w:left="200" w:right="280" w:firstLine="434"/>
        <w:spacing w:after="0" w:line="251" w:lineRule="auto"/>
        <w:rPr>
          <w:sz w:val="20"/>
          <w:szCs w:val="20"/>
          <w:color w:val="auto"/>
        </w:rPr>
      </w:pPr>
      <w:r>
        <w:rPr>
          <w:rFonts w:ascii="Times New Roman" w:cs="Times New Roman" w:eastAsia="Times New Roman" w:hAnsi="Times New Roman"/>
          <w:sz w:val="18"/>
          <w:szCs w:val="18"/>
          <w:color w:val="auto"/>
        </w:rPr>
        <w:t>China’s online adult learning market for personal interest courses has been growing faster than the offline segment in the past few years, and is expected to keep the momentum from 2021 to 2026, benefiting from the growing online learning habits in the adult learning market in China. The market size of China’s online adult learning market for personal interest courses, in terms of revenue, increased from RMB11.4 billion in 2017 to RMB22.7 billion (US$3.5 billion) in 2021, at a CAGR of 18.8%, and is expected to reach RMB62.1 billion (US$9.6 billion) in 2026, at a CAGR of 22.3% from 2021 to 2026. In contrast, the market size of China’s offline adult learning market for personal interest courses, in terms of revenue, increased from RMB84.2 billion in 2017 to RMB117.2 billion (US$18.2 billion) in 2021, at a CAGR of 8.6%, and is expected to reach RMB242.1 billion (US$37.5 billion) in 2026, at a CAGR of 15.6% from 2021 to 2026.</w:t>
      </w:r>
    </w:p>
    <w:p>
      <w:pPr>
        <w:spacing w:after="0" w:line="187" w:lineRule="exact"/>
        <w:rPr>
          <w:sz w:val="20"/>
          <w:szCs w:val="20"/>
          <w:color w:val="auto"/>
        </w:rPr>
      </w:pPr>
    </w:p>
    <w:p>
      <w:pPr>
        <w:ind w:left="200" w:right="180" w:firstLine="434"/>
        <w:spacing w:after="0" w:line="256" w:lineRule="auto"/>
        <w:rPr>
          <w:sz w:val="20"/>
          <w:szCs w:val="20"/>
          <w:color w:val="auto"/>
        </w:rPr>
      </w:pPr>
      <w:r>
        <w:rPr>
          <w:rFonts w:ascii="Times New Roman" w:cs="Times New Roman" w:eastAsia="Times New Roman" w:hAnsi="Times New Roman"/>
          <w:sz w:val="18"/>
          <w:szCs w:val="18"/>
          <w:color w:val="auto"/>
        </w:rPr>
        <w:t>The courses offered for adult personal interest learning can be divided into financial literacy and other personal interests. Financial literacy provides people with knowledge and skills to acquire financial, investment and wealth management capabilities, with course topics covering various investment and insurance products and catered to different financial goals. The following chart sets forth the historical and expected market size of the China’s adult learning market, divided by financial literacy and other personal interests, in terms of revenue, for the periods indicated.</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40"/>
          </w:cols>
          <w:pgMar w:left="320" w:top="452" w:right="5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201930</wp:posOffset>
            </wp:positionV>
            <wp:extent cx="5107940" cy="18745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0794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online financial learning market</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Course offerings of financial learning generally include investment in stock, mutual fund, insurance, real estate, bonds, derivatives and other investment instruments and securities. Financial literacy courses help people pursue their financial goals, including capital gains, wealth investment, consumption planning, and risk hedging. The following diagram sets forth the matrix of the financial goals of different individuals and the relevant types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142875</wp:posOffset>
            </wp:positionV>
            <wp:extent cx="5107940" cy="31407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07940" cy="314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220" w:lineRule="exact"/>
        <w:rPr>
          <w:sz w:val="20"/>
          <w:szCs w:val="20"/>
          <w:color w:val="auto"/>
        </w:rPr>
      </w:pPr>
    </w:p>
    <w:p>
      <w:pPr>
        <w:ind w:left="200" w:right="240" w:firstLine="434"/>
        <w:spacing w:after="0" w:line="275" w:lineRule="auto"/>
        <w:rPr>
          <w:sz w:val="20"/>
          <w:szCs w:val="20"/>
          <w:color w:val="auto"/>
        </w:rPr>
      </w:pPr>
      <w:r>
        <w:rPr>
          <w:rFonts w:ascii="Times New Roman" w:cs="Times New Roman" w:eastAsia="Times New Roman" w:hAnsi="Times New Roman"/>
          <w:sz w:val="18"/>
          <w:szCs w:val="18"/>
          <w:color w:val="auto"/>
        </w:rPr>
        <w:t>With the growing awareness for personal financial planning and the increasing disposable income, China’s wealth management market has also been booming in recent years. The total assets under management of China’s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2" w:right="5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spacing w:after="0" w:line="275" w:lineRule="auto"/>
        <w:rPr>
          <w:sz w:val="20"/>
          <w:szCs w:val="20"/>
          <w:color w:val="auto"/>
        </w:rPr>
      </w:pPr>
      <w:r>
        <w:rPr>
          <w:rFonts w:ascii="Times New Roman" w:cs="Times New Roman" w:eastAsia="Times New Roman" w:hAnsi="Times New Roman"/>
          <w:sz w:val="18"/>
          <w:szCs w:val="18"/>
          <w:color w:val="auto"/>
        </w:rPr>
        <w:t>household wealth management market increased from RMB40.0 trillion in 2017 to RMB77.6 trillion (US$12.0 trillion) in 2021, at a CAGR of 18.0%, and is expected to reach RMB159.1 trillion (US$24.6 trillion) in 2026, at a CAGR of 15.4% from 2021 to 2026.</w:t>
      </w:r>
    </w:p>
    <w:p>
      <w:pPr>
        <w:spacing w:after="0" w:line="164"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China’s financial learning market can be further divided into online and offline segments. The market size of China’s online financial learning market, in terms of revenue, increased from RMB5.0 billion in 2017 to RMB6.5 billion (US$1.0 billion) in 2021, at a CAGR of 6.8%, and is expected to reach RMB17.1 billion (US$2.6 billion) in 2026, at a CAGR of 21.3% from 2021 to 2026. The following chart sets forth the historical and expected market size of the China’s online financial learning market,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142875</wp:posOffset>
            </wp:positionV>
            <wp:extent cx="3824605" cy="2305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24605"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Source: F&amp;S report</w:t>
      </w:r>
    </w:p>
    <w:p>
      <w:pPr>
        <w:spacing w:after="0" w:line="220"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The number of learner enrollments in China’s online financial learning market increased from 15.5 million in 2017 to 18.3 million in 2021, at a CAGR of 4.2%, and is expected to increase to 34.5 million in 2026, at a CAGR of 13.5% from 2021 to 2026. The number of learner enrollments in China’s online financial learning market for formal, paid courses increased from 2.5 million in 2017 to 4.1 million in 2021, at a CAGR of 13.2%, and is expected to increase to 9.7 million in 2026, at a CAGR of 18.8% from 2021 to 2026.</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16"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China’s adult learning market is relatively fragmented with a large number of market participants. The combined market shares of the top five players only accounted for 3.3% of the total market, in terms of revenue in 2021. We are the fourth largest service provider in China’s adult learning market, in the combined online and offline segments, in terms of revenue in 2021, with a market share of 0.4% in 2021. None of the top three players in this market has a focus on adult learning for personal interest courses as we do.</w:t>
      </w:r>
    </w:p>
    <w:p>
      <w:pPr>
        <w:spacing w:after="0" w:line="181" w:lineRule="exact"/>
        <w:rPr>
          <w:sz w:val="20"/>
          <w:szCs w:val="20"/>
          <w:color w:val="auto"/>
        </w:rPr>
      </w:pPr>
    </w:p>
    <w:p>
      <w:pPr>
        <w:ind w:left="200" w:right="40" w:firstLine="434"/>
        <w:spacing w:after="0" w:line="276" w:lineRule="auto"/>
        <w:rPr>
          <w:sz w:val="20"/>
          <w:szCs w:val="20"/>
          <w:color w:val="auto"/>
        </w:rPr>
      </w:pPr>
      <w:r>
        <w:rPr>
          <w:rFonts w:ascii="Times New Roman" w:cs="Times New Roman" w:eastAsia="Times New Roman" w:hAnsi="Times New Roman"/>
          <w:sz w:val="17"/>
          <w:szCs w:val="17"/>
          <w:color w:val="auto"/>
        </w:rPr>
        <w:t>China’s adult learning market for personal interest courses is also relatively fragmented. The aggregate market shares of the top four players only accounted for 3.5% of the total market, in terms of revenue in 2021. We are the largest service provider in China’s adult learning market for personal interest courses, in the combined online and offline segments, in terms of revenue in 2021, with a market share of 1.7% in 2021. In addition, we are also the largest service provider in China’s online financial learning market in terms of revenue in 2021, with a market share of 36.9% in 2021.</w:t>
      </w:r>
    </w:p>
    <w:p>
      <w:pPr>
        <w:spacing w:after="0" w:line="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320" w:top="452" w:right="5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Key growth drivers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growth of China’s online adult learning market for personal interest courses is expected to be driven by the following factors:</w:t>
      </w:r>
    </w:p>
    <w:p>
      <w:pPr>
        <w:spacing w:after="0" w:line="123" w:lineRule="exact"/>
        <w:rPr>
          <w:sz w:val="20"/>
          <w:szCs w:val="20"/>
          <w:color w:val="auto"/>
        </w:rPr>
      </w:pPr>
    </w:p>
    <w:p>
      <w:pPr>
        <w:ind w:left="1160" w:right="40" w:hanging="429"/>
        <w:spacing w:after="0" w:line="254"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demand for personal development</w:t>
      </w:r>
      <w:r>
        <w:rPr>
          <w:rFonts w:ascii="Times New Roman" w:cs="Times New Roman" w:eastAsia="Times New Roman" w:hAnsi="Times New Roman"/>
          <w:sz w:val="18"/>
          <w:szCs w:val="18"/>
          <w:color w:val="auto"/>
        </w:rPr>
        <w:t>. People increasingly care more about their all-around development than the earlier generations,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especially in the subjects that they have a keen interest in. Aided with greater affordability of, and broader access to, personal development learning opportunities, people are more willing to invest in themselves, especially by paying for high-quality learning services. In particular, with more investable assets and active secondary stock market trading, people have increasingly more investment options, driving the demand for financial learning services.</w:t>
      </w:r>
    </w:p>
    <w:p>
      <w:pPr>
        <w:spacing w:after="0" w:line="88" w:lineRule="exact"/>
        <w:rPr>
          <w:rFonts w:ascii="Times New Roman" w:cs="Times New Roman" w:eastAsia="Times New Roman" w:hAnsi="Times New Roman"/>
          <w:sz w:val="18"/>
          <w:szCs w:val="18"/>
          <w:color w:val="auto"/>
        </w:rPr>
      </w:pPr>
    </w:p>
    <w:p>
      <w:pPr>
        <w:ind w:left="1160" w:right="140" w:hanging="429"/>
        <w:spacing w:after="0" w:line="257"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Offline to online transition. </w:t>
      </w:r>
      <w:r>
        <w:rPr>
          <w:rFonts w:ascii="Times New Roman" w:cs="Times New Roman" w:eastAsia="Times New Roman" w:hAnsi="Times New Roman"/>
          <w:sz w:val="18"/>
          <w:szCs w:val="18"/>
          <w:color w:val="auto"/>
        </w:rPr>
        <w:t>There has been a strong trend of offline to online transition for adult personal interest learning, driven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overall recognition of online platforms as an important approach to learning. The significant improvements in the quality of online courses and the capability to provide customized learning at scale due to technological advances have further driven the offline to online transition.</w:t>
      </w:r>
    </w:p>
    <w:p>
      <w:pPr>
        <w:spacing w:after="0" w:line="84" w:lineRule="exact"/>
        <w:rPr>
          <w:rFonts w:ascii="Times New Roman" w:cs="Times New Roman" w:eastAsia="Times New Roman" w:hAnsi="Times New Roman"/>
          <w:sz w:val="18"/>
          <w:szCs w:val="18"/>
          <w:color w:val="auto"/>
        </w:rPr>
      </w:pPr>
    </w:p>
    <w:p>
      <w:pPr>
        <w:ind w:left="1160" w:hanging="429"/>
        <w:spacing w:after="0" w:line="252"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Technology-driven service upgrade. </w:t>
      </w:r>
      <w:r>
        <w:rPr>
          <w:rFonts w:ascii="Times New Roman" w:cs="Times New Roman" w:eastAsia="Times New Roman" w:hAnsi="Times New Roman"/>
          <w:sz w:val="18"/>
          <w:szCs w:val="18"/>
          <w:color w:val="auto"/>
        </w:rPr>
        <w:t>The seamless integration of technology and course offerings will deliver better learning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technology advances, such as interactive live streaming technology, artificial intelligence and big data have enabled online learning service providers to more efficiently reach out to a massive learner base, improve the quality and effectiveness of course delivery, and enhance learner engagement, which in turn attract more learners to pursue learning opportunities online. In particular, the advances of artificial intelligence and behavioral data analytics enable service providers to offer tailor-made learning contents, which has stimulated the demand for technology-driven learning services.</w:t>
      </w:r>
    </w:p>
    <w:p>
      <w:pPr>
        <w:spacing w:after="0" w:line="92" w:lineRule="exact"/>
        <w:rPr>
          <w:rFonts w:ascii="Times New Roman" w:cs="Times New Roman" w:eastAsia="Times New Roman" w:hAnsi="Times New Roman"/>
          <w:sz w:val="18"/>
          <w:szCs w:val="18"/>
          <w:color w:val="auto"/>
        </w:rPr>
      </w:pPr>
    </w:p>
    <w:p>
      <w:pPr>
        <w:ind w:left="1160" w:hanging="429"/>
        <w:spacing w:after="0" w:line="254"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Diversification and enhancement of course offerings</w:t>
      </w:r>
      <w:r>
        <w:rPr>
          <w:rFonts w:ascii="Times New Roman" w:cs="Times New Roman" w:eastAsia="Times New Roman" w:hAnsi="Times New Roman"/>
          <w:sz w:val="18"/>
          <w:szCs w:val="18"/>
          <w:color w:val="auto"/>
        </w:rPr>
        <w:t>. In addition to financial literacy courses, learners in China increasingly favor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course offerings and topics for personal development, such as those relating to fitness, health and leisure. More in-depth learning contents are expected to be introduced to meet the evolving learner needs in knowledge relating to personal development, in part, driven by their continuous upskilling and reskilling needs in the rapidly changing world. A wider selection of well-designed personal interest course offerings represents robust market growth opportunities.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China’s Enterprise Professional Training Market</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major consumers of China’s adult learning services include both individuals and enterprises. There has been a growing trend in the willingness to pay for systematic, well-designed enterprise professional training courses, which has driven the growth of China’s enterprise professional training market. The market size of China’s enterprise professional training market, in terms of revenue, increased from RMB107.0 billion in 2017 to RMB137.9 billion (US$21.4 billion) in 2021, at a CAGR of 6.5%, and is expected to increase to RMB231.2 billion (US$35.8 billion) in 2026, at a CAGR of 10.9% from 2021 to 2026. China’s online enterprise professional training market has experienced, and is expected to continue to experience, a much faster growth than the offline counterpart. The market size of China’s online enterprise professional training market, in terms of revenue, increased from RMB10.7 billion in 2017 to RMB29.0 billion (US$4.5 billion) in 2021, at a CAGR of 28.3%, and is expected to reach RMB71.7 billion (US$11.1 billion) in 2026, at a CAGR of 19.8% from 2021 to 2026.</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40"/>
          </w:cols>
          <w:pgMar w:left="320" w:top="452" w:right="5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What We Envision</w:t>
      </w:r>
    </w:p>
    <w:p>
      <w:pPr>
        <w:spacing w:after="0" w:line="114" w:lineRule="exact"/>
        <w:rPr>
          <w:sz w:val="20"/>
          <w:szCs w:val="20"/>
          <w:color w:val="auto"/>
        </w:rPr>
      </w:pPr>
    </w:p>
    <w:p>
      <w:pPr>
        <w:ind w:left="200" w:right="800" w:firstLine="434"/>
        <w:spacing w:after="0" w:line="275" w:lineRule="auto"/>
        <w:rPr>
          <w:sz w:val="20"/>
          <w:szCs w:val="20"/>
          <w:color w:val="auto"/>
        </w:rPr>
      </w:pPr>
      <w:r>
        <w:rPr>
          <w:rFonts w:ascii="Times New Roman" w:cs="Times New Roman" w:eastAsia="Times New Roman" w:hAnsi="Times New Roman"/>
          <w:sz w:val="18"/>
          <w:szCs w:val="18"/>
          <w:color w:val="auto"/>
        </w:rPr>
        <w:t>We believe that personal learning and development is a lifelong journey. Everyone, regardless of background, should be given an equal opportunity to pursue their interests, passions, and goals.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mission is to improve people’s quality of life and well-being by providing them lifelong personal learning and development opportunities.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14" w:lineRule="exact"/>
        <w:rPr>
          <w:sz w:val="20"/>
          <w:szCs w:val="20"/>
          <w:color w:val="auto"/>
        </w:rPr>
      </w:pPr>
    </w:p>
    <w:p>
      <w:pPr>
        <w:jc w:val="both"/>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 xml:space="preserve">QuantaSing Group is the largest online learning service provider in China’s adult learning market for personal interest courses and among China’s top five service providers in China’s total adult learning market, in terms of revenue in 2021, according to the F&amp;S report. We offer easy-to-understand, affordable, and accessible online courses to adult learners under various brands, including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empowering them to pursue personal development.</w:t>
      </w:r>
    </w:p>
    <w:p>
      <w:pPr>
        <w:spacing w:after="0" w:line="181"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launched our online financial literacy learning services in July 2019 and quickly became the largest online financial learning service provider for adults in China, with a market share of 36.9% in terms of revenues in 2021, according to the F&amp;S report. In August 2021, we expanded our offerings into a selective repertoire of other personal interest courses beyond financial literacy, to leverage the general public’s gradual awakening to more diverse needs in pursuing personal development and lifelong learning. In February 2020, we launched our marketing services to financial intermediary enterprises, allowing them to connect with our learners to enlarge their customer base. In June 2022, we launched our enterprise talent management services to provide enterprise customers with online talent assessment, training and learning services for internal employee management. These services have enabled us to broaden our service offerings into enterprise customers and evolve into a two-sided service provider for both individuals and enterprises.</w:t>
      </w:r>
    </w:p>
    <w:p>
      <w:pPr>
        <w:spacing w:after="0" w:line="190"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Our technology capability forms the bedrock of our business growth. We continuously invest in our proprietary technology and business intelligence, embedding them in every key aspect of our business operations, from content development, live streaming, pre-recording, and intelligent study toolkits, to customer engagement, sales conversion, and operation management. By adopting various self-developed smart tools, we can gain real-time business intelligence during our courses to improve our teaching quality and learner experience, upgrade and enrich our course offerings, and ultimately, enhance the sales conversion for additional and/or more advanced courses.</w:t>
      </w:r>
    </w:p>
    <w:p>
      <w:pPr>
        <w:spacing w:after="0" w:line="185"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We have benefited from our agile and scalable business model and experienced a significant growth in our business since we launched our financial literacy learning services in July 2019. As of November 30, 2022, we had accumulated approximately 75.1 million registered users, quadrupling from 17.0 million as of June 30, 2021. For the fiscal year ended June 30, 2022, we had approximately 1.1 million paying learners, representing a 37.5% increase from 0.8 million for the fiscal year ended June 30, 2021. For the five months ended November 30, 2022, we had 0.5 million paying learners. See “Management’s Discussion and Analysis of Financial Condition and Results of Operations — Key Operating Metrics” for details. Our total revenues were RMB1,759.9 million, RMB2,868.0 million (US$403.2 million), RMB744.0 million and RMB659.4 million (US$92.7 million) for the fiscal years ended June 30, 2021 and 2022 and the three months ended September 30, 2021 and 2022, respectively. We incurred net loss of RMB316.0 million and RMB233.4 million (US$32.8 million), RMB77.9 million and RMB97.3 million (US$13.7 million) in the fiscal years ended June 30, 2021 and 2022 and the three months ended September 30, 2021 and 2022, respectively. We had adjusted net loss of RMB214.2 million, adjusted net profit of RMB58.0 million (US$8.2 million) and adjusted net less of RMB48.8 million and RMB50.9 million (US$7.2 million) in the same periods, respectively. See “Management’s Discussion and Analysis of Financial Condition and Results of Operations — Non-GAAP Financial Measures.”</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20"/>
          </w:cols>
          <w:pgMar w:left="320" w:top="452" w:right="5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What We Offer</w:t>
      </w:r>
    </w:p>
    <w:p>
      <w:pPr>
        <w:spacing w:after="0" w:line="114"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We offer (1) online courses under various brands to individual adult learners and (2) marketing services and enterprise talent management services to enterprise customers.</w:t>
      </w:r>
    </w:p>
    <w:p>
      <w:pPr>
        <w:spacing w:after="0" w:line="164" w:lineRule="exact"/>
        <w:rPr>
          <w:sz w:val="20"/>
          <w:szCs w:val="20"/>
          <w:color w:val="auto"/>
        </w:rPr>
      </w:pPr>
    </w:p>
    <w:p>
      <w:pPr>
        <w:ind w:left="200" w:right="500" w:firstLine="434"/>
        <w:spacing w:after="0" w:line="275" w:lineRule="auto"/>
        <w:rPr>
          <w:sz w:val="20"/>
          <w:szCs w:val="20"/>
          <w:color w:val="auto"/>
        </w:rPr>
      </w:pPr>
      <w:r>
        <w:rPr>
          <w:rFonts w:ascii="Times New Roman" w:cs="Times New Roman" w:eastAsia="Times New Roman" w:hAnsi="Times New Roman"/>
          <w:sz w:val="18"/>
          <w:szCs w:val="18"/>
          <w:color w:val="auto"/>
        </w:rPr>
        <w:t>The following diagram is a simplified presentation of our business model, with an illustration of the vibrant ecosystem evolving around our learning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132715</wp:posOffset>
            </wp:positionV>
            <wp:extent cx="5107940" cy="2963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0794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120" w:firstLine="434"/>
        <w:spacing w:after="0" w:line="251" w:lineRule="auto"/>
        <w:rPr>
          <w:sz w:val="20"/>
          <w:szCs w:val="20"/>
          <w:color w:val="auto"/>
        </w:rPr>
      </w:pPr>
      <w:r>
        <w:rPr>
          <w:rFonts w:ascii="Times New Roman" w:cs="Times New Roman" w:eastAsia="Times New Roman" w:hAnsi="Times New Roman"/>
          <w:sz w:val="18"/>
          <w:szCs w:val="18"/>
          <w:color w:val="auto"/>
        </w:rPr>
        <w:t xml:space="preserve">We provide our online financial literacy courses under the brand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to democratize financial learning for the mass market. Fewer than 35% adults in China were financially literate as of 2021, significantly lower than that in the other large economies such as the United States (57%) or the United Kingdom (67%), according to the F&amp;S report. This has created a robust demand for our financial literacy courses.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offers free or paid financial literacy courses at introductory, intermediate, and advanced levels, covering topics across personal finance and wealth management. As our largest brand,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had approximately 59.7 million registered users as of November 30, 2022 and 1.0 million paying learners for the fiscal year ended June 30, 2022, compared with approximately 17.0 million registered users as of June 30, 2021 and 0.8 million paying learners for the fiscal year ended June 30, 2021. For the five months ended November 30, 2022,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had approximately 0.4 million paying learners.</w:t>
      </w:r>
    </w:p>
    <w:p>
      <w:pPr>
        <w:spacing w:after="0" w:line="189"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 xml:space="preserve">We expanded our course offerings into other personal interest courses in August 2021. Leveraging our extensive course development experience, well-designed technology infrastructure, and proven operating model from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we quickly introduced our new brands, such as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to provide other personal interest courses to adult learners. We have thoughtfully curated various trending courses, such as short video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courses, in response to the popularity of video blogging on social media, and personal well-being courses, in response to people’s increased awareness of healthy lifestyles, and electronic keyboard and Chinese painting courses, in response to people’s rising pursuits of personal hobbies. We, from time to time, adjust the course mix to capture the evolving market trends. We had quickly accumulated approximately 15.4 million registered users for other personal interest courses, as of November 30, 2022, and approximately 0.1 million and 0.1 million paying learners, for the fiscal year ended June 30, 2022 and the five months ended November 30, 2022, respectively.</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320" w:top="452" w:right="5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Our fast growing user base, which consists of a large and loyal paying learner base, coupled with our learning platform technology and proven operating experience, creates an immense business opportunity for us to become a two-sided service provider, delivering services to both individual learners and enterprises. We launched our marketing services to financial intermediary enterprises in February 2020, allowing them to connect with our learners to enlarge their customer base. In June 2022, we launched our enterprise talent management services, offering systematic online talent assessment, training and learning services to enterprises for internal employee management. We are continuously exploring more diverse opportunities to leverage our large user base, proven technology, and accumulated experience in online learning markets and achieve greater synergy. For instance, we are in the process of developing technical and operating services to enterprises interested in developing their proprietary online learning platform services.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the following competitive strengths differentiate us from our competitors.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China’s largest learning platform offering adult personal interest courses with strong growth trajectory</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There is a large, burgeoning adult learning market in China. The market size, in terms of revenue, is expected to grow from RMB566.4 billion (US$87.7 billion) in 2021 to RMB994.7 billion (US$154.1 billion) in 2026, at a CAGR of 11.9%, according to the F&amp;S report. Driven by the increase of internet connectivity and digitalization, technological advances, and proliferation of smart devices, this market has been experiencing a demonstrable trend towards online learning, which is expected to continue to grow faster than offline learning in the future. The online share of China’s overall adult learning market, in terms of revenue, has grown from approximately 11.5% (RMB44.1 billion) in 2017 to 22.3% (RMB126.4 billion (US$19.6 billion)) in 2021 and is expected to reach 29.0% (RMB288.1 billion (US$44.6 billion)) by 2026, according to the F&amp;S report.</w:t>
      </w:r>
    </w:p>
    <w:p>
      <w:pPr>
        <w:spacing w:after="0" w:line="185" w:lineRule="exact"/>
        <w:rPr>
          <w:sz w:val="20"/>
          <w:szCs w:val="20"/>
          <w:color w:val="auto"/>
        </w:rPr>
      </w:pPr>
    </w:p>
    <w:p>
      <w:pPr>
        <w:ind w:left="200" w:firstLine="434"/>
        <w:spacing w:after="0" w:line="270" w:lineRule="auto"/>
        <w:rPr>
          <w:sz w:val="20"/>
          <w:szCs w:val="20"/>
          <w:color w:val="auto"/>
        </w:rPr>
      </w:pPr>
      <w:r>
        <w:rPr>
          <w:rFonts w:ascii="Times New Roman" w:cs="Times New Roman" w:eastAsia="Times New Roman" w:hAnsi="Times New Roman"/>
          <w:sz w:val="17"/>
          <w:szCs w:val="17"/>
          <w:color w:val="auto"/>
        </w:rPr>
        <w:t>Driven by the general public’s gradual awakening to more diverse needs in pursuing personal development and lifelong learning, the adult learning market for personal interest courses is the fastest-growing segment within China’s overall adult learning market, in terms of revenue, which is expected to grow significantly from RMB139.9 billion (US$21.7 billion) in 2021 to RMB304.2 billion (US$47.1 billion) in 2026, at a CAGR of 16.8%, the fastest among all the segments of China’s adult learning markets, according to the F&amp;S report. In particular, online financial literacy learning market is a fast-growing segment within China’s adult learning market for personal interest courses, in terms of revenue, which is expected to grow significantly from RMB6.5 billion (US$1.0 billion) in 2021 to RMB17.1 billion (US$2.6 billion) in 2026, at a CAGR of 21.3%, according to the same source.</w:t>
      </w:r>
    </w:p>
    <w:p>
      <w:pPr>
        <w:spacing w:after="0" w:line="170" w:lineRule="exact"/>
        <w:rPr>
          <w:sz w:val="20"/>
          <w:szCs w:val="20"/>
          <w:color w:val="auto"/>
        </w:rPr>
      </w:pPr>
    </w:p>
    <w:p>
      <w:pPr>
        <w:ind w:left="200" w:right="120" w:firstLine="434"/>
        <w:spacing w:after="0" w:line="250" w:lineRule="auto"/>
        <w:rPr>
          <w:sz w:val="20"/>
          <w:szCs w:val="20"/>
          <w:color w:val="auto"/>
        </w:rPr>
      </w:pPr>
      <w:r>
        <w:rPr>
          <w:rFonts w:ascii="Times New Roman" w:cs="Times New Roman" w:eastAsia="Times New Roman" w:hAnsi="Times New Roman"/>
          <w:sz w:val="18"/>
          <w:szCs w:val="18"/>
          <w:color w:val="auto"/>
        </w:rPr>
        <w:t>We launched our online financial literacy learning services in July 2019 and quickly became the largest online financial learning service provider for adults in China, with a market share of 36.9% in terms of revenue in 2021, according to the F&amp;S report. We began to expand our business to other personal interest course offerings in August 2021. We are now the largest online learning service provider in China’s adult personal interest learning market and among the top five service providers in China’s total adult learning market, in terms of revenue in 2021, according to the F&amp;S report. Our success is further evidenced by the various awards and recognitions we received, including “2021 Paid Knowledge Industry Excellent Quality Award,” granted by China Internet Week and eNet Research, “2021 Well-Known Online Education Brand,” granted by Tencent, and “2022 Top 50 Online Enterprises,” granted by Shanghai United Media Group and Jiemian Media. Leveraging our proven track record and robust business model, we believe that we are well positioned to capitalize on the significant growth opportunity in the adult learning market.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Innovative learning journey leading to strong user engagement</w:t>
      </w:r>
    </w:p>
    <w:p>
      <w:pPr>
        <w:spacing w:after="0" w:line="116"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We have adopted a systematic approach covering every step of our learners’ journey with us, including engagement, interactive learning, in-class participation, and after-course assessment, with the aid of our technology-driven tools.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40"/>
          </w:cols>
          <w:pgMar w:left="320" w:top="452" w:right="5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New learners typically begin their learning journey with us by attending our introductory courses. We have pioneered the adoption of a “dual-instructor” mode in such courses, allowing our lead instructor to lecture a large online class through live streaming. The large class is then divided into smaller groups supported by off-class tutors (i.e., sidekick instructors), who directly interact with our learners to answer questions and follow-up queries. The innovative “dual-instructor” mode is efficient to enhance user stickiness, by simultaneously connecting over 100,000 learners at a time to drive user engagement and foster demand for our premium courses. We deliver our premium courses primarily in online community-based training camp mode, consisting of training camp communities, pre-recorded lectures and supplemental Q&amp;A live courses, to effectively cover a wide range of knowledge points and optimize our learners’ learning results. We also selectively deliver certain premium courses in live lecture, one-on-one tutoring mode, such as our electronic keyboard courses, based on the nature of such courses. Our introductory course learner base naturally consists of learners with keen and enduring interest in personal development, which organically translate into a low-cost paying learner traffic.</w:t>
      </w:r>
    </w:p>
    <w:p>
      <w:pPr>
        <w:spacing w:after="0" w:line="187" w:lineRule="exact"/>
        <w:rPr>
          <w:sz w:val="20"/>
          <w:szCs w:val="20"/>
          <w:color w:val="auto"/>
        </w:rPr>
      </w:pPr>
    </w:p>
    <w:p>
      <w:pPr>
        <w:ind w:left="200" w:right="260" w:firstLine="434"/>
        <w:spacing w:after="0" w:line="253" w:lineRule="auto"/>
        <w:rPr>
          <w:sz w:val="20"/>
          <w:szCs w:val="20"/>
          <w:color w:val="auto"/>
        </w:rPr>
      </w:pPr>
      <w:r>
        <w:rPr>
          <w:rFonts w:ascii="Times New Roman" w:cs="Times New Roman" w:eastAsia="Times New Roman" w:hAnsi="Times New Roman"/>
          <w:sz w:val="18"/>
          <w:szCs w:val="18"/>
          <w:color w:val="auto"/>
        </w:rPr>
        <w:t>To scale our learner base and improve learning experience and effectiveness, we also combine our lectures with modular teaching and toolkits, such as community-based training and intelligent study toolkits, to create an immersive learning experience for our learners and promote a sense of belonging to facilitate learner interaction. We also design and develop the teaching materials primarily in-house to provide a seamless learning experience and maintain their quality and our control over them. We regularly evaluate and upgrade our course materials based on learners’ feedback and the data insights we generate from our internal data analysis tools.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Scalable business model driving rapid launch of new course offerings and business opportunities</w:t>
      </w:r>
    </w:p>
    <w:p>
      <w:pPr>
        <w:spacing w:after="0" w:line="116"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 xml:space="preserve">The success in our online learning platform and system is the backbone for rapid business expansion into new online course offerings. Through the established infrastructure underlying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’s success in financial literacy courses, we quickly introduced new platforms, such as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to offer other thoughtfully selected personal interest courses based on the mass market’s trending popular personal interests and passions,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short video production, personal well-being, and Chinese painting. In launching our new platforms, we applied our established curriculum development system and teaching mode, proven customer acquisition strategy, and proprietary technology platform. Since the launch of our course offerings in other personal interests from August 2021, we had accumulated approximately 15.4 million registered users for such courses as of November 30, 2022. We generated RMB193.9 million (US$27.3 million) and RMB116.5 million (US$16.4 million) revenues from these courses in the fiscal year ended June 30, 2022 and the three months ended September 30, 2022, respectively.</w:t>
      </w:r>
    </w:p>
    <w:p>
      <w:pPr>
        <w:spacing w:after="0" w:line="190" w:lineRule="exact"/>
        <w:rPr>
          <w:sz w:val="20"/>
          <w:szCs w:val="20"/>
          <w:color w:val="auto"/>
        </w:rPr>
      </w:pPr>
    </w:p>
    <w:p>
      <w:pPr>
        <w:ind w:left="200" w:right="60" w:firstLine="434"/>
        <w:spacing w:after="0" w:line="250" w:lineRule="auto"/>
        <w:rPr>
          <w:sz w:val="20"/>
          <w:szCs w:val="20"/>
          <w:color w:val="auto"/>
        </w:rPr>
      </w:pPr>
      <w:r>
        <w:rPr>
          <w:rFonts w:ascii="Times New Roman" w:cs="Times New Roman" w:eastAsia="Times New Roman" w:hAnsi="Times New Roman"/>
          <w:sz w:val="18"/>
          <w:szCs w:val="18"/>
          <w:color w:val="auto"/>
        </w:rPr>
        <w:t>We also expanded our business into serving enterprise customers, by leveraging our large user base, to provide marketing services and enterprise talent management services. We launched our marketing services, in February 2020, to allow financial intermediary enterprises to connect with our learners to enlarge their customer base. This creates a positive feedback loop to allow our learners, on the one hand, to apply newly acquired knowledge into practical use, and provide enterprise customers, on the other, a strong source of customers leads referral for an additional revenue stream. Leveraging our learning platform technology and proven operating experience, we launched our enterprise talent management services, in June 2022, and have also begun to explore opportunities to serve enterprises interested in developing their proprietary online learning platform services. Our revenues from enterprise services increased by 28.6% from RMB144.3 million for the fiscal year ended June 30, 2021 to RMB185.5 million (US$26.1 million) for the fiscal year ended June 30, 2022, and by 72.9% from RMB42.6 million for the three months ended September 30, 2021 to RMB73.6 million (US$10.3 million) for the three months ended September 30, 2022.</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Robust technology infrastructure and business intelligence</w:t>
      </w:r>
    </w:p>
    <w:p>
      <w:pPr>
        <w:spacing w:after="0" w:line="116"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Our technology capability is critical to our business growth. We have developed our proprietary online learning platforms, infrastructure, and tools to gain business intelligence and offer better and smarter products to rapidly scale our business.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40"/>
          </w:cols>
          <w:pgMar w:left="320" w:top="452"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color w:val="auto"/>
        </w:rPr>
        <w:t>We continuously invest in our proprietary technology and business intelligence, embedding them in every key aspect of our business operations, from content development, live streaming, pre-recording, and study toolkits, to customer engagement, sales conversion, and operation management. Our content development system enables our instructors and tutors to hone their teaching techniques through the big data analytics of user engagement throughout the lecture. We analyze learner behaviors, such as login and logoff time during our streaming sessions, to generate constructive feedback for course development and improvement. Our proprietary live streaming technology offers steady, reliable streaming service to support high usage volume with low latency, real-time performance monitoring, and disaster recovery capacity, at a much lower cost than third-party tools. We have also developed proprietary intelligent study toolkits to allow learners to apply their knowledge, with approximately 60 hands-on intelligent study tools as of November 30, 2022. With the prior consent from our customers, our intelligent marketing system allows us to accurately monitor and evaluate the key performance indicators throughout our sales and marketing process. Since September 2021, we have begun our back-end system integration for our online learning platforms, allowing for centralized service and functional support, streamlined operational efficiency, and unified database for big data analysis. This also allows a shortened time-to-market for new course or learning platform launch, with minimal marginal investment on R&amp;D and hardware resource.</w:t>
      </w:r>
    </w:p>
    <w:p>
      <w:pPr>
        <w:spacing w:after="0" w:line="179"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Leveraging our advanced technology infrastructure and business intelligence, we are able to develop new course offerings within an average of three to four months and launch our service offerings in a cost-effective manner. Each of our off-class tutors is able to serve more than 200 learners simultaneously, without comprising the learning experience.</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Visionary, seasoned management team and entrepreneurial corporate culture</w:t>
      </w:r>
    </w:p>
    <w:p>
      <w:pPr>
        <w:spacing w:after="0" w:line="116" w:lineRule="exact"/>
        <w:rPr>
          <w:sz w:val="20"/>
          <w:szCs w:val="20"/>
          <w:color w:val="auto"/>
        </w:rPr>
      </w:pPr>
    </w:p>
    <w:p>
      <w:pPr>
        <w:ind w:left="200" w:right="200" w:firstLine="434"/>
        <w:spacing w:after="0" w:line="275" w:lineRule="auto"/>
        <w:rPr>
          <w:sz w:val="20"/>
          <w:szCs w:val="20"/>
          <w:color w:val="auto"/>
        </w:rPr>
      </w:pPr>
      <w:r>
        <w:rPr>
          <w:rFonts w:ascii="Times New Roman" w:cs="Times New Roman" w:eastAsia="Times New Roman" w:hAnsi="Times New Roman"/>
          <w:sz w:val="18"/>
          <w:szCs w:val="18"/>
          <w:color w:val="auto"/>
        </w:rPr>
        <w:t>We have a visionary, experienced management team with deep expertise in technology, education and financial services. Our management team has been stable since our inception in 2019.</w:t>
      </w:r>
    </w:p>
    <w:p>
      <w:pPr>
        <w:spacing w:after="0" w:line="164"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Mr. Matt Peng Li, our founder and chief executive officer, is a pioneer and renowned business veteran with a proven track record of entrepreneurial success. As a serial entrepreneur, he has nearly two decades of extensive and successful business experience in the internet, education and financial services sector. His strong business acumen in transforming education through technology has cultivated our corporate culture in innovation and excellence. Our other senior management members each have over 10 years of experiences and accomplished achievements in their respective fields. Many of them have prior experiences with leading Chinese giant technology and education companies, including Tencent, Alibaba, Youdao (NetEase), and Baby English (Qimeng Education). Their rich and complementary knowledge and expertise in the internet and education sectors gives us a competitive edge over our peers.</w:t>
      </w:r>
    </w:p>
    <w:p>
      <w:pPr>
        <w:spacing w:after="0" w:line="187"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Under the leadership of our management team, we have also developed corporate culture and passion for empowering every individual with knowledge and skills through offering lifelong personal learning and development opportunities. We are committed to creating value and improving life quality for all our learners and the entire society.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How We Approach the Future</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intend to grow our business by pursuing the following strategies.</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Grow user base and drive learner engagement</w:t>
      </w:r>
    </w:p>
    <w:p>
      <w:pPr>
        <w:spacing w:after="0" w:line="116"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We will continue to expand our user base and achieve more effective conversion. We intend to attract more mass market learners who have significant demand for basic financial literacy knowledge and other personal interest skills. We also intend to improve the accuracy of our content marketing campaigns by refining our data-driven sales strategies and strengthen marketing and branding efforts across online and offline channels. We will also continue to drive learner engagement and retention by improving course quality and offering more interactive and personalized learning experiences.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0"/>
          </w:cols>
          <w:pgMar w:left="320" w:top="452" w:right="5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Enrich course offerings with proven demand</w:t>
      </w:r>
    </w:p>
    <w:p>
      <w:pPr>
        <w:spacing w:after="0" w:line="116"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will continue to explore new curriculums and develop new course subjects that have high customer interest, through extensive market research efforts, including market survey, customer interviews, and market competitor analysis. Adopting a “go-big” mindset, we strategize each of our new subject development to ensure that it can capture a wide audience with high demand to achieve business efficiency. We will also focus on curriculum designs and up-sell paid premium course with significant learner interest.</w:t>
      </w:r>
    </w:p>
    <w:p>
      <w:pPr>
        <w:spacing w:after="0" w:line="181"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We will adhere to a multi-branded online platform strategy in our course curriculum design, customer acquisition and advertisement campaigns, as we believe that differentiated brand recognitions are instrumental to achieving strong long-term organic learner growth with precision.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Develop enterprise services to achieve greater synergy</w:t>
      </w:r>
    </w:p>
    <w:p>
      <w:pPr>
        <w:spacing w:after="0" w:line="116"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 xml:space="preserve">We are continuously exploring new ways to cross-sell add-on services to enhance our customer life-time value. We have implemented our marketing services to enterprise customers on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and we intend to replicate our proven business model to our other platforms, including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We will leverage the proprietary technology and system underlying our online learning platforms to launch SaaS services to enterprises. Since June 2022, we have launched our enterprise talent management services which has integrated talent assessment, training and management functions for enterprise customers. We are in pilot program with a top-tier media group in China to further our SaaS service initiatives.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technology and data analytics</w:t>
      </w:r>
    </w:p>
    <w:p>
      <w:pPr>
        <w:spacing w:after="0" w:line="116"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Our proprietary technology allows us to track a wide range of data throughout our learners’ journey with us and facilitate our product development based on the analysis of these data and the improved understanding of learner needs. We will continue to develop our proprietary live streaming technologies and invest in technology-empowered in-class interactive features to further enhance our learner experience. We will also continue to enhance our data analytics capability. We also plan to leverage our data analytics capability to promote system security so as to ensure that our platforms are reliable and support our rapid expansion.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Attract and cultivate talent</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will continue to selectively attract qualified instructors in adult online learning markets through the lateral hiring of experienced instructors and the systematic training of emerging teaching talents. For instance, our instructors are generally experienced specialists with the qualifications in the relevant industry, such as securities practice certificate and fund practice certificate for instructors teaching financial literacy courses, and/or professional qualifications in the respective personal interest specialization.</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Expand overseas and pursue strategic collaborations</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intend to explore overseas business opportunities to further expand our online learning services. As we develop a more mature infrastructure, we also seek to export our online learning platform technology and services to overseas enterprises. We may selectively pursue strategic cooperation with, investment in, or acquisition of, other learning service providers whose operations are complementary to our strategic goals. By pursuing such new strategic opportunities, we can leverage our existing advantages to further drive our long-term growth.</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Individual Online Learning Services</w:t>
      </w:r>
    </w:p>
    <w:p>
      <w:pPr>
        <w:spacing w:after="0" w:line="114"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We offer adult learners easy-to-understand, affordable, and accessible online learning services through our platforms to address their diversified demands for personal development. As of the date of this prospectus, we have accumulatively launched 20 series of personal interest courses, including financial literacy courses and other trending personal interest courses.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40"/>
          </w:cols>
          <w:pgMar w:left="320" w:top="452"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Course offerings</w:t>
      </w:r>
    </w:p>
    <w:p>
      <w:pPr>
        <w:spacing w:after="0" w:line="114" w:lineRule="exact"/>
        <w:rPr>
          <w:sz w:val="20"/>
          <w:szCs w:val="20"/>
          <w:color w:val="auto"/>
        </w:rPr>
      </w:pPr>
    </w:p>
    <w:p>
      <w:pPr>
        <w:jc w:val="both"/>
        <w:ind w:left="200" w:right="400" w:firstLine="434"/>
        <w:spacing w:after="0" w:line="262" w:lineRule="auto"/>
        <w:rPr>
          <w:sz w:val="20"/>
          <w:szCs w:val="20"/>
          <w:color w:val="auto"/>
        </w:rPr>
      </w:pPr>
      <w:r>
        <w:rPr>
          <w:rFonts w:ascii="Times New Roman" w:cs="Times New Roman" w:eastAsia="Times New Roman" w:hAnsi="Times New Roman"/>
          <w:sz w:val="18"/>
          <w:szCs w:val="18"/>
          <w:color w:val="auto"/>
        </w:rPr>
        <w:t xml:space="preserve">We provide a wide spectrum of online courses via our platforms under the brands of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We have designed our courses into a progressive mode to serve the mass market with different levels of knowledge and interests. See “— Our Individual Online Learning Services — Course mode” for details.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literacy courses</w:t>
      </w:r>
    </w:p>
    <w:p>
      <w:pPr>
        <w:spacing w:after="0" w:line="114"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We offer a wide range of online courses in the field of financial literacy education, ranging from basic financial knowledge to simulated investment practice, to learners with diversified education background and learning goals. We have generally designed our financial literacy courses into progressive courses, i.e., introductory and premium courses.</w:t>
      </w:r>
    </w:p>
    <w:p>
      <w:pPr>
        <w:spacing w:after="0" w:line="176" w:lineRule="exact"/>
        <w:rPr>
          <w:sz w:val="20"/>
          <w:szCs w:val="20"/>
          <w:color w:val="auto"/>
        </w:rPr>
      </w:pPr>
    </w:p>
    <w:p>
      <w:pPr>
        <w:ind w:left="200" w:right="40" w:firstLine="434"/>
        <w:spacing w:after="0" w:line="268" w:lineRule="auto"/>
        <w:rPr>
          <w:sz w:val="20"/>
          <w:szCs w:val="20"/>
          <w:color w:val="auto"/>
        </w:rPr>
      </w:pPr>
      <w:r>
        <w:rPr>
          <w:rFonts w:ascii="Times New Roman" w:cs="Times New Roman" w:eastAsia="Times New Roman" w:hAnsi="Times New Roman"/>
          <w:sz w:val="17"/>
          <w:szCs w:val="17"/>
          <w:color w:val="auto"/>
        </w:rPr>
        <w:t>Our introductory financial literacy courses target novice learners, who wish to acquire the basic financial and investment knowledge, and encompass a wide range of subjects ranging from the basic financial planning and investment concepts to commonly employed financial products, such as stocks, bonds, mutual funds, insurance, and other wealth management products. Our instructors provide live lectures to a large number of learners in an innovative “dual-instructor” mode. Our intermediate-level courses primarily comprise the natural extension of topics and concepts covered in our introductory courses, amplified with more detailed explanations and extensive application scenarios. We generally deliver introductory financial literacy courses over a consecutive nine-day module of 1.5 to three hours per session in the evenings to cater to the lifestyle of our targeted learners, who are primarily middle-aged individuals with no readily available access to easy-to-grasp financial and investment knowledge.</w:t>
      </w:r>
    </w:p>
    <w:p>
      <w:pPr>
        <w:spacing w:after="0" w:line="174"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Our premium financial literacy courses mainly target individuals who have completed our introductory courses and wish to advance their financial and investment knowledge and skills in specific areas. We deliver our premium financial literacy courses primarily in online community-based training camp mode. Our learners may also purchase our premium course materials for self-study purpose. Our premium financial literacy courses cover various subjects on personal financial planning and investment, such as fund investment, stock investment, fixed income products, insurance products, financial report analysis, and family wealth management, to meet the diverse demands of our learners. We calibrate our premium courses to enable a gentle learning curve for our learners by dividing our premium financial literacy courses into intermediate level and advanced level. Our advanced-level courses step further to selectively bring in the more in-depth aspects of the personal finance and wealth management that are important to the financial practice of our learners, such as technical analysis, household asset allocation, and simulated investment practice. We typically deliver premium financial literacy courses over a four-week or five-week training schedule primarily comprising pre-recorded lectures and live lectures in the mid- and final term.</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personal interest courses</w:t>
      </w:r>
    </w:p>
    <w:p>
      <w:pPr>
        <w:spacing w:after="0" w:line="114"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Since August 2021, we have expanded our course offerings to other personal interests to cater for the mass market’s rising demands for lifelong learning and personal development. We have taken a progressive approach to expand our course portfolio to other personal interests, guided by our in-depth research into the competitive landscape, market demand and learner aptitudes, to ensure the quality and degree of acceptance of each course we offer.</w:t>
      </w:r>
    </w:p>
    <w:p>
      <w:pPr>
        <w:spacing w:after="0" w:line="181" w:lineRule="exact"/>
        <w:rPr>
          <w:sz w:val="20"/>
          <w:szCs w:val="20"/>
          <w:color w:val="auto"/>
        </w:rPr>
      </w:pPr>
    </w:p>
    <w:p>
      <w:pPr>
        <w:ind w:left="200" w:right="200" w:firstLine="434"/>
        <w:spacing w:after="0" w:line="275" w:lineRule="auto"/>
        <w:rPr>
          <w:sz w:val="20"/>
          <w:szCs w:val="20"/>
          <w:color w:val="auto"/>
        </w:rPr>
      </w:pPr>
      <w:r>
        <w:rPr>
          <w:rFonts w:ascii="Times New Roman" w:cs="Times New Roman" w:eastAsia="Times New Roman" w:hAnsi="Times New Roman"/>
          <w:sz w:val="18"/>
          <w:szCs w:val="18"/>
          <w:color w:val="auto"/>
        </w:rPr>
        <w:t>Our other personal interest courses cover a wide range of subjects, including, among others, personal technical skills, general interests and other needs for personal development. Our selected signature topics include:</w:t>
      </w:r>
    </w:p>
    <w:p>
      <w:pPr>
        <w:spacing w:after="0" w:line="162" w:lineRule="exact"/>
        <w:rPr>
          <w:sz w:val="20"/>
          <w:szCs w:val="20"/>
          <w:color w:val="auto"/>
        </w:rPr>
      </w:pPr>
    </w:p>
    <w:p>
      <w:pPr>
        <w:ind w:left="200" w:firstLine="434"/>
        <w:spacing w:after="0" w:line="277" w:lineRule="auto"/>
        <w:rPr>
          <w:sz w:val="20"/>
          <w:szCs w:val="20"/>
          <w:color w:val="auto"/>
        </w:rPr>
      </w:pPr>
      <w:r>
        <w:rPr>
          <w:rFonts w:ascii="Times New Roman" w:cs="Times New Roman" w:eastAsia="Times New Roman" w:hAnsi="Times New Roman"/>
          <w:sz w:val="18"/>
          <w:szCs w:val="18"/>
          <w:i w:val="1"/>
          <w:iCs w:val="1"/>
          <w:u w:val="single" w:color="auto"/>
          <w:color w:val="auto"/>
        </w:rPr>
        <w:t>Short-video production courses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short-video production course targets freelancers or amateurs who create video content and intend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skillsets. We provide easy-to-grasp introduction on the major</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40"/>
          </w:cols>
          <w:pgMar w:left="320" w:top="452" w:right="5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types of social media and their business models. We deliver comprehensive training on the useful skills and techniques in generating, enhancing, and operating short-video and audio content. We supplement our short-video course with hands-on training sessions to practice their video and audio editing skills.</w:t>
      </w:r>
    </w:p>
    <w:p>
      <w:pPr>
        <w:spacing w:after="0" w:line="174" w:lineRule="exact"/>
        <w:rPr>
          <w:sz w:val="20"/>
          <w:szCs w:val="20"/>
          <w:color w:val="auto"/>
        </w:rPr>
      </w:pPr>
    </w:p>
    <w:p>
      <w:pPr>
        <w:ind w:left="200" w:right="180" w:firstLine="43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Personal well-being courses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personal well-being course targets individuals who care about the wellness of themselves and their families,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them to acquire basic well-being and health management knowledge, understand common health conditions, and cultivate positive lifestyles and habits. We deliver our health management course in simplified narratives with illustrative examples, supplemented with easy-to-follow health tips for our learners to implement in daily life.</w:t>
      </w:r>
    </w:p>
    <w:p>
      <w:pPr>
        <w:spacing w:after="0" w:line="177" w:lineRule="exact"/>
        <w:rPr>
          <w:sz w:val="20"/>
          <w:szCs w:val="20"/>
          <w:color w:val="auto"/>
        </w:rPr>
      </w:pPr>
    </w:p>
    <w:p>
      <w:pPr>
        <w:ind w:left="200" w:right="100" w:firstLine="434"/>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Electronic keyboard courses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electronic keyboard course targets individuals who wish to learn electronic keyboard as a personal interest.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systematic course comprising basic music theory knowledge and skills and techniques. Our instructors deliver live lectures to our learners. Our tutors provide off-class, one-on-one training to help our learners practice their keyboard skills.</w:t>
      </w:r>
    </w:p>
    <w:p>
      <w:pPr>
        <w:spacing w:after="0" w:line="173" w:lineRule="exact"/>
        <w:rPr>
          <w:sz w:val="20"/>
          <w:szCs w:val="20"/>
          <w:color w:val="auto"/>
        </w:rPr>
      </w:pPr>
    </w:p>
    <w:p>
      <w:pPr>
        <w:ind w:left="200" w:right="180" w:firstLine="43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Chinese painting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Chinese painting course targets individuals who have not received professional trainings on painting and are interested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basic skills and knowledge about Chinese painting. We focus on Chinese landscape and bird-and-flower painting and have designed a progressive learning module which start from the fundamental skills, such as the basic strokes and structure in Chinese painting, to more advanced techniques, such as capturing specific objects and sceneries.</w:t>
      </w:r>
    </w:p>
    <w:p>
      <w:pPr>
        <w:spacing w:after="0" w:line="177" w:lineRule="exact"/>
        <w:rPr>
          <w:sz w:val="20"/>
          <w:szCs w:val="20"/>
          <w:color w:val="auto"/>
        </w:rPr>
      </w:pPr>
    </w:p>
    <w:p>
      <w:pPr>
        <w:ind w:left="200" w:right="20" w:firstLine="43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Erhu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Erhu is a traditional Chinese two-stringed bowed musical instrument. Our Erhu course targets the elderly individuals who have not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systematic training in the instrument. We provide comprehensive and progressive course contents, including the history and structure of Erhu, the care and maintenance of the instrument, and the playing techniques ranging from basic position to complex bowing. We also select classic Erhu pieces as the teaching and practicing materials to appeal to the learners’ interests.</w:t>
      </w:r>
    </w:p>
    <w:p>
      <w:pPr>
        <w:spacing w:after="0" w:line="177" w:lineRule="exact"/>
        <w:rPr>
          <w:sz w:val="20"/>
          <w:szCs w:val="20"/>
          <w:color w:val="auto"/>
        </w:rPr>
      </w:pPr>
    </w:p>
    <w:p>
      <w:pPr>
        <w:ind w:left="200" w:right="100" w:firstLine="434"/>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Data analytics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data analytics course targets individuals who wish to quickly grasp the concepts and tools frequently encountered in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analytics. We provide hands-on training on most utilized functionalities of popular data analytics software so that learners can easily translate their learning results into practice. We also offer course contents in data modeling and business case studies to enrich our learners’ skillsets in data analytics.</w:t>
      </w:r>
    </w:p>
    <w:p>
      <w:pPr>
        <w:spacing w:after="0" w:line="159"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 xml:space="preserve">We have adopted substantially the same progressive course mode for other personal interest courses as our financial literacy courses. We typically deliver introductory-level personal interest courses in large-class, live streaming mode over a four to seven-day module of approximately two hours per session in the evenings. We primarily deliver premium courses in other personal interests over a period of three weeks to three months in pre-recorded lectures, which may be supplemented with several live lectures. To a much lesser extent, we also offer certain premium courses in live lecture, one-on-one tutoring mode, tailored to the nature of the contents taught, such as our online electronic keyboard courses which demand more dedicated attention from the instructors. The conversion of paying learners for financial literacy courses (under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and other personal interest courses (under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are substantially separate from each brand. In other words, the paying learners of financial literacy courses are typically converted from introductory financial literacy courses, rather than other introductory-level personal interest courses, and vice versa. The following screenshots provide an illustrative demonstration of certain of our introductory-level personal interest courses.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320" w:top="452" w:right="5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201930</wp:posOffset>
            </wp:positionV>
            <wp:extent cx="5107940" cy="27863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0794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Course mode</w:t>
      </w:r>
    </w:p>
    <w:p>
      <w:pPr>
        <w:spacing w:after="0" w:line="116" w:lineRule="exact"/>
        <w:rPr>
          <w:sz w:val="20"/>
          <w:szCs w:val="20"/>
          <w:color w:val="auto"/>
        </w:rPr>
      </w:pPr>
    </w:p>
    <w:p>
      <w:pPr>
        <w:jc w:val="both"/>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We have designed our courses into progressive mode, i.e., (1) introductory courses in live large-class “dual-instructor” mode, and (2) premium courses in online community-based training camp mode, and, to a much lesser extent, in live lecture, one-on-one tutoring mode to accommodate the mass market with different levels of knowledge and interests.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Live large-class “dual-instructor” mode</w:t>
      </w:r>
    </w:p>
    <w:p>
      <w:pPr>
        <w:spacing w:after="0" w:line="11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We deliver introductory courses in a condensed module to target novice learners who wish to acquire the basic knowledge in their interested fields. We design our introductory courses as live sessions in a large-class “dual-instructor” mode to easily scale our learner base with a balanced level of attention to learners’ needs. We staff each course session with one or two in-class instructors to deliver the live lectures and a number of off-class tutors (i.e., sidekick instructors) to provide learners with one-on-one guidance and support in the same class. The following screenshots provide an illustrative demonstration of our “dual-instructor” mode.</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880"/>
          </w:cols>
          <w:pgMar w:left="320" w:top="452" w:right="6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201930</wp:posOffset>
            </wp:positionV>
            <wp:extent cx="5107940" cy="30143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07940" cy="301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Our instructors are primarily responsible for delivering the lectures on basic knowledge of the course subject. They are experienced teachers or specialists in their fields with strong presentation and communication skills to deliver courses in a live large-class setting. Our off-class tutors reinforce our connections with users and learners and ensure their course attendance, course completion and learning results. They provide individualized guidance and day-to-day support, such as providing responses to user inquiries, overseeing learning progress, coordinating course-related activities, assessing learner’s performance, collecting feedback, and facilitating the enrollment process for premium courses.</w:t>
      </w:r>
    </w:p>
    <w:p>
      <w:pPr>
        <w:spacing w:after="0" w:line="185"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Leveraging our intelligent technology infrastructure, our instructors can reach simultaneously over 100,000 learners on average in one class, which allows us to scale our learner base effectively, without compromising the learner experience and user engagement, and ultimately encourage and attract more learners to attend our premium courses.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Online community-based training camp mode</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have adopted primarily an online community-based training camp mode for our premium courses, with a triad of components, i.e., training camp communities, pre-recorded lectures, and illustrative slideshows. Under this learning mode, we staff our premium courses with multiple off-class tutors to offer one-on-one guidance and support. Our tutors generally coordinate our learner engagement on social media platforms, such as Weixin, and oversee the operation of our training camp communities. Our pre-recorded lectures allow us to standardize the course contents and incorporate more useful topics and enable learners to tailor their learning pace based on their own level of knowledge and learning capabilities. We also selectively organize supplemental live lectures as part of the premium courses to provide detailed pre-test coaching. Our illustrative slideshows provide simultaneous, well-organized explanation of key concepts discussed in the lectures, which makes it easier for learners to comprehend and follow. We also distribute supplemental learning materials in e-format, which consist primarily of illustrations and learning tips to allow learners to refresh and recap their learning wherever and whenever they desire.</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80"/>
          </w:cols>
          <w:pgMar w:left="320" w:top="452" w:right="5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520" w:firstLine="434"/>
        <w:spacing w:after="0" w:line="275" w:lineRule="auto"/>
        <w:rPr>
          <w:sz w:val="20"/>
          <w:szCs w:val="20"/>
          <w:color w:val="auto"/>
        </w:rPr>
      </w:pPr>
      <w:r>
        <w:rPr>
          <w:rFonts w:ascii="Times New Roman" w:cs="Times New Roman" w:eastAsia="Times New Roman" w:hAnsi="Times New Roman"/>
          <w:sz w:val="18"/>
          <w:szCs w:val="18"/>
          <w:color w:val="auto"/>
        </w:rPr>
        <w:t>We seek to instill a suitable level of intensity and attentiveness into a learner’s learning journey with our community-based training camps, featuring the following functions:</w:t>
      </w:r>
    </w:p>
    <w:p>
      <w:pPr>
        <w:spacing w:after="0" w:line="69" w:lineRule="exact"/>
        <w:rPr>
          <w:sz w:val="20"/>
          <w:szCs w:val="20"/>
          <w:color w:val="auto"/>
        </w:rPr>
      </w:pPr>
    </w:p>
    <w:p>
      <w:pPr>
        <w:ind w:left="1160" w:right="20" w:hanging="429"/>
        <w:spacing w:after="0" w:line="254"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Full-cycle learning support. </w:t>
      </w:r>
      <w:r>
        <w:rPr>
          <w:rFonts w:ascii="Times New Roman" w:cs="Times New Roman" w:eastAsia="Times New Roman" w:hAnsi="Times New Roman"/>
          <w:sz w:val="18"/>
          <w:szCs w:val="18"/>
          <w:color w:val="auto"/>
        </w:rPr>
        <w:t>Our training camp communities, operated primarily via Weixin, feature frequent and swift Q&amp;A sessions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tutors and learners, allowing learners to receive the latest updates and advice on their learning progress from their tutors. We also provide tailored learning resources, such as daily knowledge feeds, to foster a more immersive learning environment. In addition, we organize supplemental live lectures to align with the mid- and final term sessions of the premium courses, during which learners may raise questions and receive first-hand explanations.</w:t>
      </w:r>
    </w:p>
    <w:p>
      <w:pPr>
        <w:spacing w:after="0" w:line="88" w:lineRule="exact"/>
        <w:rPr>
          <w:rFonts w:ascii="Times New Roman" w:cs="Times New Roman" w:eastAsia="Times New Roman" w:hAnsi="Times New Roman"/>
          <w:sz w:val="18"/>
          <w:szCs w:val="18"/>
          <w:color w:val="auto"/>
        </w:rPr>
      </w:pPr>
    </w:p>
    <w:p>
      <w:pPr>
        <w:ind w:left="1160" w:hanging="429"/>
        <w:spacing w:after="0" w:line="257"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practice. </w:t>
      </w:r>
      <w:r>
        <w:rPr>
          <w:rFonts w:ascii="Times New Roman" w:cs="Times New Roman" w:eastAsia="Times New Roman" w:hAnsi="Times New Roman"/>
          <w:sz w:val="18"/>
          <w:szCs w:val="18"/>
          <w:color w:val="auto"/>
        </w:rPr>
        <w:t>We offer learners pre-recorded examples for cases illustrated during the premium course sessions for review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We have also developed proprietary intelligent study toolkits to allow learners to apply their knowledge. As of November 30, 2022, we had developed approximately 60 hands-on intelligent study tools. The following screenshots provide an illustrative demonstration of our study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142240</wp:posOffset>
            </wp:positionV>
            <wp:extent cx="5107940" cy="2946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07940" cy="294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60" w:right="20" w:hanging="429"/>
        <w:spacing w:after="0" w:line="257" w:lineRule="auto"/>
        <w:tabs>
          <w:tab w:leader="none" w:pos="1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Targeted assessment. </w:t>
      </w:r>
      <w:r>
        <w:rPr>
          <w:rFonts w:ascii="Times New Roman" w:cs="Times New Roman" w:eastAsia="Times New Roman" w:hAnsi="Times New Roman"/>
          <w:sz w:val="18"/>
          <w:szCs w:val="18"/>
          <w:color w:val="auto"/>
        </w:rPr>
        <w:t>We provide assignments to learners after each premium course session. We also assess their learning progress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quizzes to identify areas for improvement and modify our quiz offerings based on the performance of each individual learner. We typically deliver premium courses in a training schedule varying from three weeks to three months, which primarily comprise pre-recorded lectures and live lectures in the mid- and final term.</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Live lecture, one-on-one tutoring mode</w:t>
      </w:r>
    </w:p>
    <w:p>
      <w:pPr>
        <w:spacing w:after="0" w:line="114" w:lineRule="exact"/>
        <w:rPr>
          <w:sz w:val="20"/>
          <w:szCs w:val="20"/>
          <w:color w:val="auto"/>
        </w:rPr>
      </w:pPr>
    </w:p>
    <w:p>
      <w:pPr>
        <w:jc w:val="both"/>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We deliver certain premium courses in live lecture, one-on-one tutoring mode, tailored to the nature of the contents taught. For instance, we use this learning mode in our electronic keyboard courses which demand more dedicated attention from the tutors. Under this mode, instructors can timely adjust the pace of teaching and course content during the live lecture according to the learners’ progress, and the learners can have individualized, one-on-one guidance from the off-class tutors to optimize their learning results.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320" w:top="452" w:right="5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Course fees</w:t>
      </w:r>
    </w:p>
    <w:p>
      <w:pPr>
        <w:spacing w:after="0" w:line="116"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We offer our introductory courses free of charges or, occasionally, for a nominal price, which was generally no more than RMB9.9 as of November 30, 2022. These courses aim to set the backstage and expand the learner base for our premium courses. As of November 30, 2022, our standard fees for premium course packages generally ranged from RMB1,980 to RMB3,699. Our learners generally enroll in and make upfront payment for all sessions. For our financial literacy courses, we generally offer learners of premium courses a full and unconditional refund within the first three months after their payment and before they unlock the courses.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Enterprise Services</w:t>
      </w:r>
    </w:p>
    <w:p>
      <w:pPr>
        <w:spacing w:after="0" w:line="114" w:lineRule="exact"/>
        <w:rPr>
          <w:sz w:val="20"/>
          <w:szCs w:val="20"/>
          <w:color w:val="auto"/>
        </w:rPr>
      </w:pPr>
    </w:p>
    <w:p>
      <w:pPr>
        <w:jc w:val="both"/>
        <w:ind w:left="200" w:right="100" w:firstLine="434"/>
        <w:spacing w:after="0" w:line="276" w:lineRule="auto"/>
        <w:rPr>
          <w:sz w:val="20"/>
          <w:szCs w:val="20"/>
          <w:color w:val="auto"/>
        </w:rPr>
      </w:pPr>
      <w:r>
        <w:rPr>
          <w:rFonts w:ascii="Times New Roman" w:cs="Times New Roman" w:eastAsia="Times New Roman" w:hAnsi="Times New Roman"/>
          <w:sz w:val="17"/>
          <w:szCs w:val="17"/>
          <w:color w:val="auto"/>
        </w:rPr>
        <w:t>Benefiting from our user base and connections with reputable institutions, we connect our individual learners with our enterprise customers and provide enterprise-oriented services synergistic with our offerings to learners. We primarily offer marketing services to our enterprise customers. Since June 2022, we have also begun to provide enterprise talent management services. We are exploring opportunities to offer standardized online learning related technical and operating services to enterprises interested in developing their proprietary online learning platform services.</w:t>
      </w:r>
    </w:p>
    <w:p>
      <w:pPr>
        <w:spacing w:after="0" w:line="162" w:lineRule="exact"/>
        <w:rPr>
          <w:sz w:val="20"/>
          <w:szCs w:val="20"/>
          <w:color w:val="auto"/>
        </w:rPr>
      </w:pPr>
    </w:p>
    <w:p>
      <w:pPr>
        <w:ind w:left="200" w:right="8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Marketing services for enterprises. </w:t>
      </w:r>
      <w:r>
        <w:rPr>
          <w:rFonts w:ascii="Times New Roman" w:cs="Times New Roman" w:eastAsia="Times New Roman" w:hAnsi="Times New Roman"/>
          <w:sz w:val="18"/>
          <w:szCs w:val="18"/>
          <w:color w:val="auto"/>
        </w:rPr>
        <w:t>In February 2020, we began to provide access between selective financial intermediary enterprises,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brokerage firms, insurance intermediaries, and fund intermediaries, and our learners, to capture our learners’ needs for financial concierge services and our enterprise customers’ needs for traffic. We primarily collaborate with premium securities brokerage firms, allowing them to connect with our learners to enlarge their customer base. We charge leads referral fees from financial intermediary enterprises based on the quality and quantity of the leads generated.</w:t>
      </w:r>
    </w:p>
    <w:p>
      <w:pPr>
        <w:spacing w:after="0" w:line="181" w:lineRule="exact"/>
        <w:rPr>
          <w:sz w:val="20"/>
          <w:szCs w:val="20"/>
          <w:color w:val="auto"/>
        </w:rPr>
      </w:pPr>
    </w:p>
    <w:p>
      <w:pPr>
        <w:ind w:left="200" w:right="160"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Enterprise talent management services. </w:t>
      </w:r>
      <w:r>
        <w:rPr>
          <w:rFonts w:ascii="Times New Roman" w:cs="Times New Roman" w:eastAsia="Times New Roman" w:hAnsi="Times New Roman"/>
          <w:sz w:val="18"/>
          <w:szCs w:val="18"/>
          <w:color w:val="auto"/>
        </w:rPr>
        <w:t>In June 2022, we launched our enterprise talent management services featuring an intelligent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which integrates the functions of talent assessment, training and management to provide enterprises digital, integrated internal employee training, and management system. This platform provides customized, systematic online courses and evaluation mechanisms to address our enterprise customers’ demands for internal talent management and optimize their relevant procedures. Our enterprise customers can receive automatically generated reports about the learning progress and assessment performance of the enrolled employees, which allows them to timely adjust their talent strategy. We charge enterprise customers service fees for these services based on the service contents and duration. We began to recognize revenue for our enterprise talent management services in July 2022. As of the date of this prospectus, revenue from enterprise talent management services has not accounted for a material portion of our total revenues. We expect to primarily leverage our existing infrastructure and resources to develop and commercialize our enterprise talent management services and benefit from the greater synergy with our existing business. Nevertheless, we may incur additional business development costs and IT costs, such as hiring relevant personnel, in promoting and enhancing our enterprise talent management services in the future.</w:t>
      </w:r>
    </w:p>
    <w:p>
      <w:pPr>
        <w:spacing w:after="0" w:line="191" w:lineRule="exact"/>
        <w:rPr>
          <w:sz w:val="20"/>
          <w:szCs w:val="20"/>
          <w:color w:val="auto"/>
        </w:rPr>
      </w:pPr>
    </w:p>
    <w:p>
      <w:pPr>
        <w:ind w:left="200" w:right="8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Enterprise technical and operational support services. </w:t>
      </w:r>
      <w:r>
        <w:rPr>
          <w:rFonts w:ascii="Times New Roman" w:cs="Times New Roman" w:eastAsia="Times New Roman" w:hAnsi="Times New Roman"/>
          <w:sz w:val="18"/>
          <w:szCs w:val="18"/>
          <w:color w:val="auto"/>
        </w:rPr>
        <w:t>We believe our proven operational excellence and technology capability can empower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customers to improve the agility, scalability, and efficacy of their own business process, and in particular, for enterprise customers seeking to build or optimize their proprietary learning platforms. We are in pilot program with a reputable media group in China to help them digitalize and build up the technical infrastructure for their proprietary online learning platform.</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Teaching Staff</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employ qualified in-class instructors and capable off-class tutors to provide a seamless learning journey for our learners.</w:t>
      </w:r>
    </w:p>
    <w:p>
      <w:pPr>
        <w:spacing w:after="0" w:line="1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320" w:top="452" w:right="5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instructors</w:t>
      </w:r>
    </w:p>
    <w:p>
      <w:pPr>
        <w:spacing w:after="0" w:line="116" w:lineRule="exact"/>
        <w:rPr>
          <w:sz w:val="20"/>
          <w:szCs w:val="20"/>
          <w:color w:val="auto"/>
        </w:rPr>
      </w:pPr>
    </w:p>
    <w:p>
      <w:pPr>
        <w:ind w:left="200" w:right="220" w:firstLine="434"/>
        <w:spacing w:after="0" w:line="272" w:lineRule="auto"/>
        <w:rPr>
          <w:sz w:val="20"/>
          <w:szCs w:val="20"/>
          <w:color w:val="auto"/>
        </w:rPr>
      </w:pPr>
      <w:r>
        <w:rPr>
          <w:rFonts w:ascii="Times New Roman" w:cs="Times New Roman" w:eastAsia="Times New Roman" w:hAnsi="Times New Roman"/>
          <w:sz w:val="17"/>
          <w:szCs w:val="17"/>
          <w:color w:val="auto"/>
        </w:rPr>
        <w:t>We are committed to developing a team of highly qualified instructors with practical knowledge and expertise. Our instructors are primarily responsible for in-class teaching and lecturing. We believe the qualification and expertise of our instructors are paramount to our teaching quality. For instance, our instructors are generally experienced specialists with the qualifications in the relevant industry, such as securities practice certificate and fund practice certificate for instructors teaching financial literacy courses, and/or professional qualifications in the respective personal interest specialization. We also require instructors to have strong presentation and communication skills to deliver courses in a live large-class setting.</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4"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We have adopted a systematic approach to assess our instructor candidates based on various criteria, including their professional background and qualification in the course-related areas, teaching skills and passion in this area. We implement interviews and teaching demonstrations to ensure that our instructors can meet our teaching standards.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114" w:lineRule="exact"/>
        <w:rPr>
          <w:sz w:val="20"/>
          <w:szCs w:val="20"/>
          <w:color w:val="auto"/>
        </w:rPr>
      </w:pPr>
    </w:p>
    <w:p>
      <w:pPr>
        <w:ind w:left="200" w:right="240" w:firstLine="434"/>
        <w:spacing w:after="0" w:line="256" w:lineRule="auto"/>
        <w:rPr>
          <w:sz w:val="20"/>
          <w:szCs w:val="20"/>
          <w:color w:val="auto"/>
        </w:rPr>
      </w:pPr>
      <w:r>
        <w:rPr>
          <w:rFonts w:ascii="Times New Roman" w:cs="Times New Roman" w:eastAsia="Times New Roman" w:hAnsi="Times New Roman"/>
          <w:sz w:val="18"/>
          <w:szCs w:val="18"/>
          <w:color w:val="auto"/>
        </w:rPr>
        <w:t>We require our newly recruited instructors to undergo standardized training to improve their skills in delivering courses. We also require instructors to participate in continuous training programs relating to course content, teaching skills and techniques, teaching performance in an online setting, and our corporate culture and values. We also provide systematic compliance training to our instructors to ensure the legitimacy and appropriateness of our course delivery.</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Evaluation and compensation</w:t>
      </w:r>
    </w:p>
    <w:p>
      <w:pPr>
        <w:spacing w:after="0" w:line="114"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We have implemented a quality assurance process to monitor the performance of each instructor for each course and generate analysis report for each course which will form the basis for improvement or supervisorial actions. We evaluate the performance of each instructor based on a standardized evaluation system, including presentation skills, teaching process, course content, and emergency handling, and periodically offer constructive feedback on each instructor’s course presentation and performance.</w:t>
      </w:r>
    </w:p>
    <w:p>
      <w:pPr>
        <w:spacing w:after="0" w:line="181" w:lineRule="exact"/>
        <w:rPr>
          <w:sz w:val="20"/>
          <w:szCs w:val="20"/>
          <w:color w:val="auto"/>
        </w:rPr>
      </w:pPr>
    </w:p>
    <w:p>
      <w:pPr>
        <w:ind w:left="200" w:right="200" w:firstLine="434"/>
        <w:spacing w:after="0" w:line="256" w:lineRule="auto"/>
        <w:rPr>
          <w:sz w:val="20"/>
          <w:szCs w:val="20"/>
          <w:color w:val="auto"/>
        </w:rPr>
      </w:pPr>
      <w:r>
        <w:rPr>
          <w:rFonts w:ascii="Times New Roman" w:cs="Times New Roman" w:eastAsia="Times New Roman" w:hAnsi="Times New Roman"/>
          <w:sz w:val="18"/>
          <w:szCs w:val="18"/>
          <w:color w:val="auto"/>
        </w:rPr>
        <w:t>We have adopted a comprehensive set of key performance indicators (the “KPIs”) and qualitative factors to evaluate instructor performance and incentivize high performance. We primarily evaluate our instructors for introductory courses based on their premium course conversion. For the instructors of premium courses, we primarily evaluate them based on course quality, completion rate and refund rate. These KPIs will also be factored into the promotion and performance-based compensation for our instructors.</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tutors</w:t>
      </w:r>
    </w:p>
    <w:p>
      <w:pPr>
        <w:spacing w:after="0" w:line="116" w:lineRule="exact"/>
        <w:rPr>
          <w:sz w:val="20"/>
          <w:szCs w:val="20"/>
          <w:color w:val="auto"/>
        </w:rPr>
      </w:pPr>
    </w:p>
    <w:p>
      <w:pPr>
        <w:jc w:val="both"/>
        <w:ind w:left="200" w:right="420" w:firstLine="434"/>
        <w:spacing w:after="0" w:line="261" w:lineRule="auto"/>
        <w:rPr>
          <w:sz w:val="20"/>
          <w:szCs w:val="20"/>
          <w:color w:val="auto"/>
        </w:rPr>
      </w:pPr>
      <w:r>
        <w:rPr>
          <w:rFonts w:ascii="Times New Roman" w:cs="Times New Roman" w:eastAsia="Times New Roman" w:hAnsi="Times New Roman"/>
          <w:sz w:val="18"/>
          <w:szCs w:val="18"/>
          <w:color w:val="auto"/>
        </w:rPr>
        <w:t>We maintain a large team of off-class tutors to engage users and learners and ensure their course attendance, course completion, and learning results. Our tutors provide off-class individualized guidance and day-to-day support to learners, such as responding to learner inquiries, overseeing learner learning progress, coordinating course-related activities, and facilitating the enrollment process for paid courses.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4"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We believe the service quality of our tutors is crucial to our learners’ overall learning experience. To this end, we have implemented a systematic selection process for tutors, consisting of interviews and written assessment. We primarily seek tutor candidates who have experience and relevant skills, a strong sense of responsibility, and good communication skills.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52" w:right="5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114" w:lineRule="exact"/>
        <w:rPr>
          <w:sz w:val="20"/>
          <w:szCs w:val="20"/>
          <w:color w:val="auto"/>
        </w:rPr>
      </w:pPr>
    </w:p>
    <w:p>
      <w:pPr>
        <w:ind w:left="200" w:right="200" w:firstLine="434"/>
        <w:spacing w:after="0" w:line="256" w:lineRule="auto"/>
        <w:rPr>
          <w:sz w:val="20"/>
          <w:szCs w:val="20"/>
          <w:color w:val="auto"/>
        </w:rPr>
      </w:pPr>
      <w:r>
        <w:rPr>
          <w:rFonts w:ascii="Times New Roman" w:cs="Times New Roman" w:eastAsia="Times New Roman" w:hAnsi="Times New Roman"/>
          <w:sz w:val="18"/>
          <w:szCs w:val="18"/>
          <w:color w:val="auto"/>
        </w:rPr>
        <w:t>We provide our newly recruited tutors with an orientation program to introduce their workflow and job responsibilities. We have developed internal training materials for our tutors in parallel to our course materials, with elevated depth and scope so that our tutors are more prepared in their communications with learners. We also deliver training sessions from time to time to our tutors to strengthen their knowledge base. We encourage our tutors to obtain professional qualifications in the relevant fields, such as teacher’s qualification and related certificates.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Evaluation and compensation</w:t>
      </w:r>
    </w:p>
    <w:p>
      <w:pPr>
        <w:spacing w:after="0" w:line="114"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We regularly require our tutors to participate in assessments tailored to our course materials, which are designed to be more rigorous and comprehensive than the course coverage to our learners. We evaluate and compensate our tutors mainly based on their performance such as the course completion rate, satisfaction rate and assessment passage rate and retention rate of our learners.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Content Development and Monitoring</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development</w:t>
      </w:r>
    </w:p>
    <w:p>
      <w:pPr>
        <w:spacing w:after="0" w:line="116"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We primarily design and develop course contents in-house to translate sophisticated concepts into practical, easy-to-adopt skills. We continuously improve and enrich our proprietary database of standardized teaching resources. We also regularly evaluate and upgrade our course materials based on learner feedback and the data insights we generate from our internal business intelligence tools. Our proprietary database consisted of a large volume of teaching materials, which allows us to compile diverse sets of lecture notes to suit our teaching needs. To a much lesser extent, we also cooperate with third-party learning service providers at the early stage of certain new course offerings to test the market, under which we will refer to them the learners and they will develop and deliver the course contents.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We have formulated and implemented our </w:t>
      </w:r>
      <w:r>
        <w:rPr>
          <w:rFonts w:ascii="Times New Roman" w:cs="Times New Roman" w:eastAsia="Times New Roman" w:hAnsi="Times New Roman"/>
          <w:sz w:val="18"/>
          <w:szCs w:val="18"/>
          <w:i w:val="1"/>
          <w:iCs w:val="1"/>
          <w:color w:val="auto"/>
        </w:rPr>
        <w:t>ADDIE</w:t>
      </w:r>
      <w:r>
        <w:rPr>
          <w:rFonts w:ascii="Times New Roman" w:cs="Times New Roman" w:eastAsia="Times New Roman" w:hAnsi="Times New Roman"/>
          <w:sz w:val="18"/>
          <w:szCs w:val="18"/>
          <w:color w:val="auto"/>
        </w:rPr>
        <w:t xml:space="preserve"> content development methods to strategize our course development efforts.</w:t>
      </w:r>
    </w:p>
    <w:p>
      <w:pPr>
        <w:spacing w:after="0" w:line="218" w:lineRule="exact"/>
        <w:rPr>
          <w:sz w:val="20"/>
          <w:szCs w:val="20"/>
          <w:color w:val="auto"/>
        </w:rPr>
      </w:pPr>
    </w:p>
    <w:p>
      <w:pPr>
        <w:jc w:val="both"/>
        <w:ind w:left="200" w:right="5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Analyze</w:t>
      </w:r>
      <w:r>
        <w:rPr>
          <w:rFonts w:ascii="Times New Roman" w:cs="Times New Roman" w:eastAsia="Times New Roman" w:hAnsi="Times New Roman"/>
          <w:sz w:val="18"/>
          <w:szCs w:val="18"/>
          <w:color w:val="auto"/>
        </w:rPr>
        <w:t>. Based on our learner survey and market research findings, we investigate the demand of our course candidates and consolidate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discoveries and projections into a course blueprint of eligible knowledge points, with which we invite beta testing learners to review and provide feedback.</w:t>
      </w:r>
    </w:p>
    <w:p>
      <w:pPr>
        <w:spacing w:after="0" w:line="173" w:lineRule="exact"/>
        <w:rPr>
          <w:sz w:val="20"/>
          <w:szCs w:val="20"/>
          <w:color w:val="auto"/>
        </w:rPr>
      </w:pPr>
    </w:p>
    <w:p>
      <w:pPr>
        <w:ind w:left="200" w:right="12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Design</w:t>
      </w:r>
      <w:r>
        <w:rPr>
          <w:rFonts w:ascii="Times New Roman" w:cs="Times New Roman" w:eastAsia="Times New Roman" w:hAnsi="Times New Roman"/>
          <w:sz w:val="18"/>
          <w:szCs w:val="18"/>
          <w:color w:val="auto"/>
        </w:rPr>
        <w:t>. We equip every course with a syllabus to foster a progressive and approachable learning process that facilitates practice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memorization. We standardize the structure of our syllabi by concentrating on our course goals, target population, and delivery style to ensure that they serve our course offerings in a consistent and effective manner.</w:t>
      </w:r>
    </w:p>
    <w:p>
      <w:pPr>
        <w:spacing w:after="0" w:line="173" w:lineRule="exact"/>
        <w:rPr>
          <w:sz w:val="20"/>
          <w:szCs w:val="20"/>
          <w:color w:val="auto"/>
        </w:rPr>
      </w:pPr>
    </w:p>
    <w:p>
      <w:pPr>
        <w:ind w:left="2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Develop</w:t>
      </w:r>
      <w:r>
        <w:rPr>
          <w:rFonts w:ascii="Times New Roman" w:cs="Times New Roman" w:eastAsia="Times New Roman" w:hAnsi="Times New Roman"/>
          <w:sz w:val="18"/>
          <w:szCs w:val="18"/>
          <w:color w:val="auto"/>
        </w:rPr>
        <w:t>. We strive to integrate knowing and practicing in our courses. We have adopted the project-based learning methodology in developing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courses to prioritize the cultivation of critical thinking skills of our learners. We allocate a temperate number of knowledge points to each lesson and generally support each with at least two case studies to maximize the degree of acceptance of our learners.</w:t>
      </w:r>
    </w:p>
    <w:p>
      <w:pPr>
        <w:spacing w:after="0" w:line="173" w:lineRule="exact"/>
        <w:rPr>
          <w:sz w:val="20"/>
          <w:szCs w:val="20"/>
          <w:color w:val="auto"/>
        </w:rPr>
      </w:pPr>
    </w:p>
    <w:p>
      <w:pPr>
        <w:jc w:val="both"/>
        <w:ind w:left="200" w:right="3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Implement</w:t>
      </w:r>
      <w:r>
        <w:rPr>
          <w:rFonts w:ascii="Times New Roman" w:cs="Times New Roman" w:eastAsia="Times New Roman" w:hAnsi="Times New Roman"/>
          <w:sz w:val="18"/>
          <w:szCs w:val="18"/>
          <w:color w:val="auto"/>
        </w:rPr>
        <w:t>. We transmit knowledge in an engaging and transferable way. We utilize examples from our daily lives and intuitive metaphors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analogies to tackle sophisticated concepts. We continuously enhance the functions of our in-house developed intelligent study toolkits to create new knowledge application scenarios for our learners.</w:t>
      </w:r>
    </w:p>
    <w:p>
      <w:pPr>
        <w:spacing w:after="0" w:line="173" w:lineRule="exact"/>
        <w:rPr>
          <w:sz w:val="20"/>
          <w:szCs w:val="20"/>
          <w:color w:val="auto"/>
        </w:rPr>
      </w:pPr>
    </w:p>
    <w:p>
      <w:pPr>
        <w:ind w:left="200" w:right="1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Evaluate. </w:t>
      </w:r>
      <w:r>
        <w:rPr>
          <w:rFonts w:ascii="Times New Roman" w:cs="Times New Roman" w:eastAsia="Times New Roman" w:hAnsi="Times New Roman"/>
          <w:sz w:val="18"/>
          <w:szCs w:val="18"/>
          <w:color w:val="auto"/>
        </w:rPr>
        <w:t>We regularly review and adjust our course contents and presentation methods based on an internal grading scale considering our 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positioning, structure, and contents.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40"/>
          </w:cols>
          <w:pgMar w:left="320" w:top="452" w:right="5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As our courses address the mass market with a practical orientation, we focus on the demands of our learners and proactively solicit their feedback on our course offerings. We invite learners to submit after-class feedback, which will be reviewed and processed by our content development personnel and factored into the subsequent upgrades of our course contents. We regularly review the comparable courses on the market to ensure that our contents are sufficiently updated and comprehensive to meet the market expectations.</w:t>
      </w:r>
    </w:p>
    <w:p>
      <w:pPr>
        <w:spacing w:after="0" w:line="181"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Leveraging our in-house developed artificial intelligent content development technology adopted since March 2020, we are among the first platforms in the online adult learning industry that have achieved intelligent, quantified content development process, according to the F&amp;S report. See “— Technology and Infrastructure — Data analytics and business intelligence” for details.</w:t>
      </w:r>
    </w:p>
    <w:p>
      <w:pPr>
        <w:spacing w:after="0" w:line="176" w:lineRule="exact"/>
        <w:rPr>
          <w:sz w:val="20"/>
          <w:szCs w:val="20"/>
          <w:color w:val="auto"/>
        </w:rPr>
      </w:pPr>
    </w:p>
    <w:p>
      <w:pPr>
        <w:jc w:val="both"/>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Our course content development personnel have the complimentary skillsets to generate high-quality and informative online learning content. For instance, some of them have a career trajectory in the financial and investment industry, and others have accumulated experience in online training and course development areas.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monitoring</w:t>
      </w:r>
    </w:p>
    <w:p>
      <w:pPr>
        <w:spacing w:after="0" w:line="116"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We believe the quality of our teaching and learning environment are critical to the reputation and sustainability of our business. We have adopted integrated measures to monitor the content on our platforms and safeguard platform integrity.</w:t>
      </w:r>
    </w:p>
    <w:p>
      <w:pPr>
        <w:spacing w:after="0" w:line="162" w:lineRule="exact"/>
        <w:rPr>
          <w:sz w:val="20"/>
          <w:szCs w:val="20"/>
          <w:color w:val="auto"/>
        </w:rPr>
      </w:pPr>
    </w:p>
    <w:p>
      <w:pPr>
        <w:ind w:left="2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Manual monitoring. </w:t>
      </w:r>
      <w:r>
        <w:rPr>
          <w:rFonts w:ascii="Times New Roman" w:cs="Times New Roman" w:eastAsia="Times New Roman" w:hAnsi="Times New Roman"/>
          <w:sz w:val="18"/>
          <w:szCs w:val="18"/>
          <w:color w:val="auto"/>
        </w:rPr>
        <w:t>Our teaching assistants coordinate the activities of our live sessions and serve as gatekeepers of potentially harmful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staff each live session with several teaching assistants to continuously monitor the activities and remarks on our platforms during the lecture process, and intervene with and report incidents of potentially harmful contents on a timely basis. These measures aim to maintain an orderly learning environment and ensure the learning experience and the integrity of our platforms.</w:t>
      </w:r>
    </w:p>
    <w:p>
      <w:pPr>
        <w:spacing w:after="0" w:line="177" w:lineRule="exact"/>
        <w:rPr>
          <w:sz w:val="20"/>
          <w:szCs w:val="20"/>
          <w:color w:val="auto"/>
        </w:rPr>
      </w:pPr>
    </w:p>
    <w:p>
      <w:pPr>
        <w:jc w:val="both"/>
        <w:ind w:left="200" w:right="48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Real-time intelligent monitoring. </w:t>
      </w:r>
      <w:r>
        <w:rPr>
          <w:rFonts w:ascii="Times New Roman" w:cs="Times New Roman" w:eastAsia="Times New Roman" w:hAnsi="Times New Roman"/>
          <w:sz w:val="18"/>
          <w:szCs w:val="18"/>
          <w:color w:val="auto"/>
        </w:rPr>
        <w:t>We also take proactive measures, through our intelligent content monitoring system, to detect the irregular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 of learners on our platforms and minimize the risk of repeated misbehaviors. We implement data-driven content analysis tools to prevent inappropriate comments or disturbing behaviors during live lectures.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Platforms</w:t>
      </w:r>
    </w:p>
    <w:p>
      <w:pPr>
        <w:spacing w:after="0" w:line="112"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 xml:space="preserve">Our online learning platforms currently include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(rebranded from </w:t>
      </w:r>
      <w:r>
        <w:rPr>
          <w:rFonts w:ascii="Times New Roman" w:cs="Times New Roman" w:eastAsia="Times New Roman" w:hAnsi="Times New Roman"/>
          <w:sz w:val="18"/>
          <w:szCs w:val="18"/>
          <w:i w:val="1"/>
          <w:iCs w:val="1"/>
          <w:color w:val="auto"/>
        </w:rPr>
        <w:t>KuaiCai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JiangZhen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 xml:space="preserve"> (rebranded from </w:t>
      </w:r>
      <w:r>
        <w:rPr>
          <w:rFonts w:ascii="Times New Roman" w:cs="Times New Roman" w:eastAsia="Times New Roman" w:hAnsi="Times New Roman"/>
          <w:sz w:val="18"/>
          <w:szCs w:val="18"/>
          <w:i w:val="1"/>
          <w:iCs w:val="1"/>
          <w:color w:val="auto"/>
        </w:rPr>
        <w:t>BanCai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host these platforms via a combination of our mobile apps and Weixin, which facilitates our day-to-day learner management and engagement and form part of our sales and marketing functions to generate learner traffic. We embed a </w:t>
      </w:r>
      <w:r>
        <w:rPr>
          <w:rFonts w:ascii="Times New Roman" w:cs="Times New Roman" w:eastAsia="Times New Roman" w:hAnsi="Times New Roman"/>
          <w:sz w:val="18"/>
          <w:szCs w:val="18"/>
          <w:i w:val="1"/>
          <w:iCs w:val="1"/>
          <w:color w:val="auto"/>
        </w:rPr>
        <w:t>QiNiu Circle</w:t>
      </w:r>
      <w:r>
        <w:rPr>
          <w:rFonts w:ascii="Times New Roman" w:cs="Times New Roman" w:eastAsia="Times New Roman" w:hAnsi="Times New Roman"/>
          <w:sz w:val="18"/>
          <w:szCs w:val="18"/>
          <w:color w:val="auto"/>
        </w:rPr>
        <w:t xml:space="preserve"> function inside our mobile app for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which allows experts on our platform to continuously share financial knowledge and interact with learners. We also supply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xml:space="preserve"> mobile app with various value-added finance-related contents, including mini lessons on selected topics which are available in multiple audio-visual formats.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114" w:lineRule="exact"/>
        <w:rPr>
          <w:sz w:val="20"/>
          <w:szCs w:val="20"/>
          <w:color w:val="auto"/>
        </w:rPr>
      </w:pPr>
    </w:p>
    <w:p>
      <w:pPr>
        <w:ind w:left="200" w:right="420" w:firstLine="434"/>
        <w:spacing w:after="0" w:line="256" w:lineRule="auto"/>
        <w:rPr>
          <w:sz w:val="20"/>
          <w:szCs w:val="20"/>
          <w:color w:val="auto"/>
        </w:rPr>
      </w:pPr>
      <w:r>
        <w:rPr>
          <w:rFonts w:ascii="Times New Roman" w:cs="Times New Roman" w:eastAsia="Times New Roman" w:hAnsi="Times New Roman"/>
          <w:sz w:val="18"/>
          <w:szCs w:val="18"/>
          <w:color w:val="auto"/>
        </w:rPr>
        <w:t>Technology is the backbone of our highly scalable business mode. Our strong technological capability enables us to deliver superior user experience, enhance course offerings, and improve operating efficiency. Our technology team, supported with our proprietary artificial intelligence technology and the large volume of data generated from operations, has continued to identify opportunities for improvements in our technology infrastructure and applications. As of November 30, 2022, we had a total of 309 R&amp;D staff.</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Data analytics and business intelligence</w:t>
      </w:r>
    </w:p>
    <w:p>
      <w:pPr>
        <w:spacing w:after="0" w:line="116" w:lineRule="exact"/>
        <w:rPr>
          <w:sz w:val="20"/>
          <w:szCs w:val="20"/>
          <w:color w:val="auto"/>
        </w:rPr>
      </w:pPr>
    </w:p>
    <w:p>
      <w:pPr>
        <w:ind w:left="200" w:right="540" w:firstLine="434"/>
        <w:spacing w:after="0" w:line="275" w:lineRule="auto"/>
        <w:rPr>
          <w:sz w:val="20"/>
          <w:szCs w:val="20"/>
          <w:color w:val="auto"/>
        </w:rPr>
      </w:pPr>
      <w:r>
        <w:rPr>
          <w:rFonts w:ascii="Times New Roman" w:cs="Times New Roman" w:eastAsia="Times New Roman" w:hAnsi="Times New Roman"/>
          <w:sz w:val="18"/>
          <w:szCs w:val="18"/>
          <w:color w:val="auto"/>
        </w:rPr>
        <w:t>We gather and analyze data from each key stage of users’ connections and interactions with us, including their first point of contact with us through marketing channels, course enrollment, course attendance, interactions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52" w:right="5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with instructors and tutors, and participation in training camp communities. Using a set of data analytics tools, we implement a highly automated process to collect, organize and analyze such data, which significantly improves our operating efficiency and reduces potential errors. Our core strength lies in our ability to quickly capture and adopt insights from the data gathered and analyzed to refine business operations.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applied various big data and artificial intelligence technologies in multiple areas of business operations.</w:t>
      </w:r>
    </w:p>
    <w:p>
      <w:pPr>
        <w:spacing w:after="0" w:line="123" w:lineRule="exact"/>
        <w:rPr>
          <w:sz w:val="20"/>
          <w:szCs w:val="20"/>
          <w:color w:val="auto"/>
        </w:rPr>
      </w:pPr>
    </w:p>
    <w:p>
      <w:pPr>
        <w:ind w:left="1160" w:right="20" w:hanging="429"/>
        <w:spacing w:after="0" w:line="270" w:lineRule="auto"/>
        <w:tabs>
          <w:tab w:leader="none" w:pos="11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Intelligent marketing system. </w:t>
      </w:r>
      <w:r>
        <w:rPr>
          <w:rFonts w:ascii="Times New Roman" w:cs="Times New Roman" w:eastAsia="Times New Roman" w:hAnsi="Times New Roman"/>
          <w:sz w:val="17"/>
          <w:szCs w:val="17"/>
          <w:color w:val="auto"/>
        </w:rPr>
        <w:t>We have been streamlining and enhancing our user acquisition and engagement process using data analytics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tools. Leveraging our understanding of various channels, we developed in-house toolkits to synergize the conversion paths of potential users from different channels and boosted our cross-channel conversion efficiency. We have established a real-time system to accurately monitor and evaluate the KPIs throughout our sales and marketing process, which we believe has strengthened our understanding of users, optimized our platform operations, and enhanced user experience. We also digitalize the formation of new training camp communities with tools that automatically produce and modify group allocation to allow our tutors to better serve our users.</w:t>
      </w:r>
    </w:p>
    <w:p>
      <w:pPr>
        <w:spacing w:after="0" w:line="76" w:lineRule="exact"/>
        <w:rPr>
          <w:rFonts w:ascii="Times New Roman" w:cs="Times New Roman" w:eastAsia="Times New Roman" w:hAnsi="Times New Roman"/>
          <w:sz w:val="17"/>
          <w:szCs w:val="17"/>
          <w:color w:val="auto"/>
        </w:rPr>
      </w:pPr>
    </w:p>
    <w:p>
      <w:pPr>
        <w:ind w:left="1160" w:hanging="429"/>
        <w:spacing w:after="0" w:line="252"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Intelligent interactive system. </w:t>
      </w:r>
      <w:r>
        <w:rPr>
          <w:rFonts w:ascii="Times New Roman" w:cs="Times New Roman" w:eastAsia="Times New Roman" w:hAnsi="Times New Roman"/>
          <w:sz w:val="18"/>
          <w:szCs w:val="18"/>
          <w:color w:val="auto"/>
        </w:rPr>
        <w:t>We have consolidated our live interactions with users into a single, highly integrated broadcasting scenario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 user participation at our live sessions. We simultaneously present the text-based lecture notes and the audio-visual information exchange between instructors and learners to maximize the potentials of teaching and learning in limited screen time. We also selectively embed our interactive system with real-time mini quizzes to boost the level of engagement. We provide automated exercise grading to allow our tutors to have more time for user interactions and make higher user-to-tutor ratio possible without compromising user experience.</w:t>
      </w:r>
    </w:p>
    <w:p>
      <w:pPr>
        <w:spacing w:after="0" w:line="92" w:lineRule="exact"/>
        <w:rPr>
          <w:rFonts w:ascii="Times New Roman" w:cs="Times New Roman" w:eastAsia="Times New Roman" w:hAnsi="Times New Roman"/>
          <w:sz w:val="18"/>
          <w:szCs w:val="18"/>
          <w:color w:val="auto"/>
        </w:rPr>
      </w:pPr>
    </w:p>
    <w:p>
      <w:pPr>
        <w:ind w:left="1160" w:right="60" w:hanging="429"/>
        <w:spacing w:after="0" w:line="270" w:lineRule="auto"/>
        <w:tabs>
          <w:tab w:leader="none" w:pos="11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Intelligent content development system. </w:t>
      </w:r>
      <w:r>
        <w:rPr>
          <w:rFonts w:ascii="Times New Roman" w:cs="Times New Roman" w:eastAsia="Times New Roman" w:hAnsi="Times New Roman"/>
          <w:sz w:val="17"/>
          <w:szCs w:val="17"/>
          <w:color w:val="auto"/>
        </w:rPr>
        <w:t>We leverage big data analytics to monitor users’ participation and conversion throughout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lecture. In particular, we collect and visualize key metrics including the number of viewing, exiting and converting user in every minute of the live session. We further align the specific inputs of the relevant instructors, such as the content being taught and the expression of the instructors with the key metrics, so that we can analyze and improve the content selection and presentation strategies of our instructors. Through the extensive and frequent utilization of our intelligent content development system, our instructors and/or content development personnel can precisely observe the quality and level of engagement for each part of the course contents and adjust accordingly.</w:t>
      </w:r>
    </w:p>
    <w:p>
      <w:pPr>
        <w:spacing w:after="0" w:line="76" w:lineRule="exact"/>
        <w:rPr>
          <w:rFonts w:ascii="Times New Roman" w:cs="Times New Roman" w:eastAsia="Times New Roman" w:hAnsi="Times New Roman"/>
          <w:sz w:val="17"/>
          <w:szCs w:val="17"/>
          <w:color w:val="auto"/>
        </w:rPr>
      </w:pPr>
    </w:p>
    <w:p>
      <w:pPr>
        <w:jc w:val="both"/>
        <w:ind w:left="1160" w:right="220" w:hanging="429"/>
        <w:spacing w:after="0" w:line="257"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Intelligent content monitoring system. </w:t>
      </w:r>
      <w:r>
        <w:rPr>
          <w:rFonts w:ascii="Times New Roman" w:cs="Times New Roman" w:eastAsia="Times New Roman" w:hAnsi="Times New Roman"/>
          <w:sz w:val="18"/>
          <w:szCs w:val="18"/>
          <w:color w:val="auto"/>
        </w:rPr>
        <w:t>We have designed and implemented content monitoring system empowered by deep learning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language processing technologies and modes to oversee and reduce the incidents of inappropriate user-generated contents on our platform, such as inappropriate remarks and disturbing behaviors. It also maintains and continuously update a list of high-risk users and behaviors identified on our platform and take more stringent content monitoring measures against such users and behaviors.</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Live streaming</w:t>
      </w:r>
    </w:p>
    <w:p>
      <w:pPr>
        <w:spacing w:after="0" w:line="116" w:lineRule="exact"/>
        <w:rPr>
          <w:sz w:val="20"/>
          <w:szCs w:val="20"/>
          <w:color w:val="auto"/>
        </w:rPr>
      </w:pPr>
    </w:p>
    <w:p>
      <w:pPr>
        <w:ind w:left="200" w:right="180" w:firstLine="434"/>
        <w:spacing w:after="0" w:line="253" w:lineRule="auto"/>
        <w:rPr>
          <w:sz w:val="20"/>
          <w:szCs w:val="20"/>
          <w:color w:val="auto"/>
        </w:rPr>
      </w:pPr>
      <w:r>
        <w:rPr>
          <w:rFonts w:ascii="Times New Roman" w:cs="Times New Roman" w:eastAsia="Times New Roman" w:hAnsi="Times New Roman"/>
          <w:sz w:val="18"/>
          <w:szCs w:val="18"/>
          <w:color w:val="auto"/>
        </w:rPr>
        <w:t>We continuously enhance our live streaming capability to improve our course delivery effects and ensure our service stability and security. We have built our live streaming infrastructure upon flexible microservice architecture, industry-leading push solutions, and diversified content delivery network portfolio to ensure and optimize its operability and scalability. Our proprietary live streaming technology allows a simultaneous attendance of over 100,000 users, without compromising video quality or overcrowding our system. We have also adopted https secure transmission protocol and gateway dynamic routing with real-time authentication to fortify our live streaming system.</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40"/>
          </w:cols>
          <w:pgMar w:left="320" w:top="452" w:right="5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Network infrastructure</w:t>
      </w:r>
    </w:p>
    <w:p>
      <w:pPr>
        <w:spacing w:after="0" w:line="116" w:lineRule="exact"/>
        <w:rPr>
          <w:sz w:val="20"/>
          <w:szCs w:val="20"/>
          <w:color w:val="auto"/>
        </w:rPr>
      </w:pPr>
    </w:p>
    <w:p>
      <w:pPr>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We have established a network infrastructure of high stability and capacity. We currently utilize third-party cloud service providers in China to host our network infrastructure. We back-up data stored on external network on a regular basis to our internal system. Our IT department monitors the performance of our platforms and network infrastructure around the clock to enable us to respond quickly to potential problems.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Data security and personal information protection</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collect and store different types of personal information concerning our users in our business operations based on the type of services requested. For instance, we generally collect cellphone numbers and/or social media accounts of our users for user registration purpose. We collect such information from different sources, including our mobile apps, our communities, applets and official accounts embedded on Weixin, and other marketing channels. We believe that the legitimate and positive use of data concerning our users is critical to our business success.</w:t>
      </w:r>
    </w:p>
    <w:p>
      <w:pPr>
        <w:spacing w:after="0" w:line="181"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We provide our services via our mobile apps under standard user privacy provisions, pursuant to which we undertake to collect user information on a lawful, appropriate and necessary basis. These provisions inform users about the situations we will collect personal information, the type of information collected, how we store and use such information, users’ rights, and our data security measures. We also establish a set of detailed rules in collecting and using user information for each key step in the provision of learning services and user engagement, including those relating our online training camp communities. We will not share user information with third parties unless there is express consent or required by law. We update our user privacy provisions from time to time to ensure that they comply with the relevant laws and regulations and stay abreast with our business updates.</w:t>
      </w:r>
    </w:p>
    <w:p>
      <w:pPr>
        <w:spacing w:after="0" w:line="170" w:lineRule="exact"/>
        <w:rPr>
          <w:sz w:val="20"/>
          <w:szCs w:val="20"/>
          <w:color w:val="auto"/>
        </w:rPr>
      </w:pPr>
    </w:p>
    <w:p>
      <w:pPr>
        <w:ind w:left="200" w:right="140" w:firstLine="434"/>
        <w:spacing w:after="0" w:line="252" w:lineRule="auto"/>
        <w:rPr>
          <w:sz w:val="20"/>
          <w:szCs w:val="20"/>
          <w:color w:val="auto"/>
        </w:rPr>
      </w:pPr>
      <w:r>
        <w:rPr>
          <w:rFonts w:ascii="Times New Roman" w:cs="Times New Roman" w:eastAsia="Times New Roman" w:hAnsi="Times New Roman"/>
          <w:sz w:val="18"/>
          <w:szCs w:val="18"/>
          <w:color w:val="auto"/>
        </w:rPr>
        <w:t>We have implemented stringent internal protocols with respect to data storage, access, processing and extraction. For sensitive personal information, we apply encryption procedures, and grant classified and limited access to such information, generally after data masking, to those employees demonstrating authorized needs through an internal application and approval process. We have also implemented protocols on personal information security protection, which govern our internal business processes including the demand analysis, product design and development, testing and product launch, to evaluate and ensure our personal information compliance on an ongoing basis. To tackle potential security incidents, we design relevant action plans to limit the impact on our users and business operations.</w:t>
      </w:r>
    </w:p>
    <w:p>
      <w:pPr>
        <w:spacing w:after="0" w:line="185" w:lineRule="exact"/>
        <w:rPr>
          <w:sz w:val="20"/>
          <w:szCs w:val="20"/>
          <w:color w:val="auto"/>
        </w:rPr>
      </w:pPr>
    </w:p>
    <w:p>
      <w:pPr>
        <w:jc w:val="both"/>
        <w:ind w:left="200" w:right="80" w:firstLine="434"/>
        <w:spacing w:after="0" w:line="276" w:lineRule="auto"/>
        <w:rPr>
          <w:sz w:val="20"/>
          <w:szCs w:val="20"/>
          <w:color w:val="auto"/>
        </w:rPr>
      </w:pPr>
      <w:r>
        <w:rPr>
          <w:rFonts w:ascii="Times New Roman" w:cs="Times New Roman" w:eastAsia="Times New Roman" w:hAnsi="Times New Roman"/>
          <w:sz w:val="17"/>
          <w:szCs w:val="17"/>
          <w:color w:val="auto"/>
        </w:rPr>
        <w:t>To ensure the confidentiality and integrity of our data, we maintain a comprehensive data security system. We anonymize and encrypt sensitive personal information and cooperate with reputable third-party cloud service providers to ensure the security of our data storage. Our back-end security system is capable of handling malicious attacks to safeguard the security of our operations and to protect the information security of our users. We also perform audits of our data security and technology infrastructure to ensure that we can timely discover potential issues and minimize related risks.</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4"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We primarily market our courses to individual users and enhance brand awareness through mobile and other online channels in China, with an emphasis on major social media platforms. At the same time, we also generate sales leads from word-of-mouth referrals by our users. We believe our high-quality course offerings and satisfactory learner experience will continue to generate our sales leads and new enrollments through word-of-mouth referrals.</w:t>
      </w:r>
    </w:p>
    <w:p>
      <w:pPr>
        <w:spacing w:after="0" w:line="181" w:lineRule="exact"/>
        <w:rPr>
          <w:sz w:val="20"/>
          <w:szCs w:val="20"/>
          <w:color w:val="auto"/>
        </w:rPr>
      </w:pPr>
    </w:p>
    <w:p>
      <w:pPr>
        <w:ind w:left="200" w:right="380" w:firstLine="434"/>
        <w:spacing w:after="0" w:line="275" w:lineRule="auto"/>
        <w:rPr>
          <w:sz w:val="20"/>
          <w:szCs w:val="20"/>
          <w:color w:val="auto"/>
        </w:rPr>
      </w:pPr>
      <w:r>
        <w:rPr>
          <w:rFonts w:ascii="Times New Roman" w:cs="Times New Roman" w:eastAsia="Times New Roman" w:hAnsi="Times New Roman"/>
          <w:sz w:val="18"/>
          <w:szCs w:val="18"/>
          <w:color w:val="auto"/>
        </w:rPr>
        <w:t>We have formulated a highly consolidated sales process for our courses, comprising intricately linked steps that ultimately enrich our paying learner base. For instance, we anchor the potential demand for personal</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80"/>
          </w:cols>
          <w:pgMar w:left="320" w:top="452"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jc w:val="both"/>
        <w:ind w:left="200" w:right="200"/>
        <w:spacing w:after="0" w:line="261" w:lineRule="auto"/>
        <w:rPr>
          <w:sz w:val="20"/>
          <w:szCs w:val="20"/>
          <w:color w:val="auto"/>
        </w:rPr>
      </w:pPr>
      <w:r>
        <w:rPr>
          <w:rFonts w:ascii="Times New Roman" w:cs="Times New Roman" w:eastAsia="Times New Roman" w:hAnsi="Times New Roman"/>
          <w:sz w:val="18"/>
          <w:szCs w:val="18"/>
          <w:color w:val="auto"/>
        </w:rPr>
        <w:t>financial skills with our marketing materials and present prospective users with the opportunity to participate in our introductory, live course sessions, during which interested users may continue their journey with us. We design the contents and presentation of our advertisements and other marketing materials according to the nature of the social media platforms to increase our marketing efficiency.</w:t>
      </w:r>
    </w:p>
    <w:p>
      <w:pPr>
        <w:spacing w:after="0" w:line="176" w:lineRule="exact"/>
        <w:rPr>
          <w:sz w:val="20"/>
          <w:szCs w:val="20"/>
          <w:color w:val="auto"/>
        </w:rPr>
      </w:pPr>
    </w:p>
    <w:p>
      <w:pPr>
        <w:jc w:val="both"/>
        <w:ind w:left="200" w:right="440" w:firstLine="434"/>
        <w:spacing w:after="0" w:line="261" w:lineRule="auto"/>
        <w:rPr>
          <w:sz w:val="20"/>
          <w:szCs w:val="20"/>
          <w:color w:val="auto"/>
        </w:rPr>
      </w:pPr>
      <w:r>
        <w:rPr>
          <w:rFonts w:ascii="Times New Roman" w:cs="Times New Roman" w:eastAsia="Times New Roman" w:hAnsi="Times New Roman"/>
          <w:sz w:val="18"/>
          <w:szCs w:val="18"/>
          <w:color w:val="auto"/>
        </w:rPr>
        <w:t>We attracted users to our offerings through placing on the marketing channels the direct enrollment access to our introductory courses. Our introductory courses mainly consist of warm-up lectures that not only inform users of the fundamentals of relevant topics but also simulate a more formal learning experience for them to understand the quality and nature of our course offerings.</w:t>
      </w:r>
    </w:p>
    <w:p>
      <w:pPr>
        <w:spacing w:after="0" w:line="176" w:lineRule="exact"/>
        <w:rPr>
          <w:sz w:val="20"/>
          <w:szCs w:val="20"/>
          <w:color w:val="auto"/>
        </w:rPr>
      </w:pPr>
    </w:p>
    <w:p>
      <w:pPr>
        <w:ind w:left="200" w:right="220" w:firstLine="434"/>
        <w:spacing w:after="0" w:line="275" w:lineRule="auto"/>
        <w:rPr>
          <w:sz w:val="20"/>
          <w:szCs w:val="20"/>
          <w:color w:val="auto"/>
        </w:rPr>
      </w:pPr>
      <w:r>
        <w:rPr>
          <w:rFonts w:ascii="Times New Roman" w:cs="Times New Roman" w:eastAsia="Times New Roman" w:hAnsi="Times New Roman"/>
          <w:sz w:val="18"/>
          <w:szCs w:val="18"/>
          <w:color w:val="auto"/>
        </w:rPr>
        <w:t>Our success in the adult online learning industry with proven business model and robust learner base has enabled us to appeal to and efficiently market our enterprise services to enterprise customers.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ind w:left="200" w:right="300" w:firstLine="434"/>
        <w:spacing w:after="0" w:line="275" w:lineRule="auto"/>
        <w:rPr>
          <w:sz w:val="20"/>
          <w:szCs w:val="20"/>
          <w:color w:val="auto"/>
        </w:rPr>
      </w:pPr>
      <w:r>
        <w:rPr>
          <w:rFonts w:ascii="Times New Roman" w:cs="Times New Roman" w:eastAsia="Times New Roman" w:hAnsi="Times New Roman"/>
          <w:sz w:val="18"/>
          <w:szCs w:val="18"/>
          <w:color w:val="auto"/>
        </w:rPr>
        <w:t>China’s adult learning market is relatively fragmented with a large number of industry players. We face competition with other online learning service providers, particularly those for financial literacy and other personal interest subjects.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compete primarily on the following factors:</w:t>
      </w:r>
    </w:p>
    <w:p>
      <w:pPr>
        <w:spacing w:after="0" w:line="125" w:lineRule="exact"/>
        <w:rPr>
          <w:sz w:val="20"/>
          <w:szCs w:val="20"/>
          <w:color w:val="auto"/>
        </w:rPr>
      </w:pPr>
    </w:p>
    <w:p>
      <w:pPr>
        <w:ind w:left="1160" w:hanging="429"/>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course offerings;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learning experience;</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caliber of our instructors and tutors;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and data analytics capabilities;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effectiveness.</w:t>
      </w:r>
    </w:p>
    <w:p>
      <w:pPr>
        <w:spacing w:after="0" w:line="218" w:lineRule="exact"/>
        <w:rPr>
          <w:sz w:val="20"/>
          <w:szCs w:val="20"/>
          <w:color w:val="auto"/>
        </w:rPr>
      </w:pPr>
    </w:p>
    <w:p>
      <w:pPr>
        <w:ind w:left="200" w:right="780" w:firstLine="434"/>
        <w:spacing w:after="0" w:line="305" w:lineRule="auto"/>
        <w:rPr>
          <w:sz w:val="20"/>
          <w:szCs w:val="20"/>
          <w:color w:val="auto"/>
        </w:rPr>
      </w:pPr>
      <w:r>
        <w:rPr>
          <w:rFonts w:ascii="Times New Roman" w:cs="Times New Roman" w:eastAsia="Times New Roman" w:hAnsi="Times New Roman"/>
          <w:sz w:val="17"/>
          <w:szCs w:val="17"/>
          <w:color w:val="auto"/>
        </w:rPr>
        <w:t>We believe that we are well-positioned to effectively compete based on the factors listed above. However, some of our current or future competitors may have greater financial, technical or marketing resources, greater brand recognition, or longer operating history than we do.</w:t>
      </w: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14" w:lineRule="exact"/>
        <w:rPr>
          <w:sz w:val="20"/>
          <w:szCs w:val="20"/>
          <w:color w:val="auto"/>
        </w:rPr>
      </w:pPr>
    </w:p>
    <w:p>
      <w:pPr>
        <w:ind w:left="200" w:right="320" w:firstLine="434"/>
        <w:spacing w:after="0" w:line="261" w:lineRule="auto"/>
        <w:rPr>
          <w:sz w:val="20"/>
          <w:szCs w:val="20"/>
          <w:color w:val="auto"/>
        </w:rPr>
      </w:pPr>
      <w:r>
        <w:rPr>
          <w:rFonts w:ascii="Times New Roman" w:cs="Times New Roman" w:eastAsia="Times New Roman" w:hAnsi="Times New Roman"/>
          <w:sz w:val="18"/>
          <w:szCs w:val="18"/>
          <w:color w:val="auto"/>
        </w:rPr>
        <w:t>We are dedicated to broadening the access to high-quality personal interest and lifelong learning opportunities for all individuals in China. We believe that our course offerings are naturally constructive to social development, and we also actively involve ourselves in corporate social responsibility initiatives, leveraging our capabilities and insights in the relevant fields. Our recent initiatives include, among others:</w:t>
      </w:r>
    </w:p>
    <w:p>
      <w:pPr>
        <w:spacing w:after="0" w:line="83" w:lineRule="exact"/>
        <w:rPr>
          <w:sz w:val="20"/>
          <w:szCs w:val="20"/>
          <w:color w:val="auto"/>
        </w:rPr>
      </w:pPr>
    </w:p>
    <w:p>
      <w:pPr>
        <w:ind w:left="1160" w:right="60" w:hanging="429"/>
        <w:spacing w:after="0" w:line="261"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co-authored the Financial Literacy Whitebook with industry experts and authoritative organizations in China to systematically analyze the landscape of the financial literacy industry, and provide insights into the improvement of financial knowledge for the mass market in China.</w:t>
      </w:r>
    </w:p>
    <w:p>
      <w:pPr>
        <w:spacing w:after="0" w:line="82" w:lineRule="exact"/>
        <w:rPr>
          <w:rFonts w:ascii="Times New Roman" w:cs="Times New Roman" w:eastAsia="Times New Roman" w:hAnsi="Times New Roman"/>
          <w:sz w:val="18"/>
          <w:szCs w:val="18"/>
          <w:color w:val="auto"/>
        </w:rPr>
      </w:pPr>
    </w:p>
    <w:p>
      <w:pPr>
        <w:ind w:left="1160" w:right="160" w:hanging="429"/>
        <w:spacing w:after="0" w:line="275"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co-sponsored the Symposium on Consumer Right Protection in Digital Finance with the National Internet Finance Association of the PRC, to promote the relevant discussions between government authorities and industry experts.</w:t>
      </w:r>
    </w:p>
    <w:p>
      <w:pPr>
        <w:spacing w:after="0" w:line="70" w:lineRule="exact"/>
        <w:rPr>
          <w:rFonts w:ascii="Times New Roman" w:cs="Times New Roman" w:eastAsia="Times New Roman" w:hAnsi="Times New Roman"/>
          <w:sz w:val="18"/>
          <w:szCs w:val="18"/>
          <w:color w:val="auto"/>
        </w:rPr>
      </w:pPr>
    </w:p>
    <w:p>
      <w:pPr>
        <w:ind w:left="1160" w:hanging="429"/>
        <w:spacing w:after="0" w:line="275"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member of the Online Education Professional Committee of the China Federation of Internet Societies, aiming to lead the healthy development of the online learning industry.</w:t>
      </w:r>
    </w:p>
    <w:p>
      <w:pPr>
        <w:spacing w:after="0" w:line="70" w:lineRule="exact"/>
        <w:rPr>
          <w:rFonts w:ascii="Times New Roman" w:cs="Times New Roman" w:eastAsia="Times New Roman" w:hAnsi="Times New Roman"/>
          <w:sz w:val="18"/>
          <w:szCs w:val="18"/>
          <w:color w:val="auto"/>
        </w:rPr>
      </w:pPr>
    </w:p>
    <w:p>
      <w:pPr>
        <w:ind w:left="1160" w:right="60" w:hanging="429"/>
        <w:spacing w:after="0" w:line="275"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Xinhua Finance, a reputable financial information platform in China, to improve the level of financial knowledge and awareness of financial interest protection of the mass market with illustrative and easy-to-grasp contents.</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20"/>
          </w:cols>
          <w:pgMar w:left="320" w:top="452" w:right="5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right="80" w:hanging="429"/>
        <w:spacing w:after="0" w:line="261" w:lineRule="auto"/>
        <w:tabs>
          <w:tab w:leader="none" w:pos="1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co-launched the Financial Knowledge Enhancement Program with a number of reputable financial institutions, companies and media group in China, to improve the financial literacy of the mass market. Under this program, we provided gratuitous online open courses to introduce basic financial knowledge to the audience.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4"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We had 1,769, 2,007 and 2,269 full-time employees as of June 30, 2021 and 2022 and November 30, 2022, respectively. All of our employees are located in China. The following table sets forth the number of our full-time employees as of November 30, 2022:</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4"/>
        </w:trPr>
        <w:tc>
          <w:tcPr>
            <w:tcW w:w="472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1940" w:type="dxa"/>
            <w:vAlign w:val="bottom"/>
            <w:gridSpan w:val="4"/>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November 30, 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instruction and content development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Course tutoring</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User growth</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operations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In addition to our full-time employees, we also engage a number of part-time personnel, primarily part-time tutors, to facilitate the delivery and operation of our courses and enhance our operational efficiency and flexibility. As of November 30, 2022, we had a part-time workforce of more than 1,300.</w:t>
      </w:r>
    </w:p>
    <w:p>
      <w:pPr>
        <w:spacing w:after="0" w:line="176"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We enter into employment contracts with our full-time employees which contain standard confidentiality provisions. We also enter into separate non-compete agreement with certain employees. In addition to base salaries and benefits, we provide performance-based bonuses for our full-time employees and commission-based compensation for our sales and marketing force.</w:t>
      </w:r>
    </w:p>
    <w:p>
      <w:pPr>
        <w:spacing w:after="0" w:line="176" w:lineRule="exact"/>
        <w:rPr>
          <w:sz w:val="20"/>
          <w:szCs w:val="20"/>
          <w:color w:val="auto"/>
        </w:rPr>
      </w:pPr>
    </w:p>
    <w:p>
      <w:pPr>
        <w:ind w:left="200" w:right="120" w:firstLine="434"/>
        <w:spacing w:after="0" w:line="283" w:lineRule="auto"/>
        <w:rPr>
          <w:sz w:val="20"/>
          <w:szCs w:val="20"/>
          <w:color w:val="auto"/>
        </w:rPr>
      </w:pPr>
      <w:r>
        <w:rPr>
          <w:rFonts w:ascii="Times New Roman" w:cs="Times New Roman" w:eastAsia="Times New Roman" w:hAnsi="Times New Roman"/>
          <w:sz w:val="17"/>
          <w:szCs w:val="17"/>
          <w:color w:val="auto"/>
        </w:rPr>
        <w:t>As required by regulations in China, we participate in various employee social security plans that are organized by municipal and provincial governments for our PRC-based employees, including pension, unemployment insurance, maternity insurance, work-related injury insurance, medical insurance, and housing fund. We are required under PRC laws to make contributions to employee benefit plans for our employees at specified rates.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experienced material labor disputes with our employees in the past. None of our employees is represented by labor unions.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4"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our principal offices are located in Beijing, China, where we lease premises of approximately 28,211 square meters, with lease term generally ranging from one to three years. We lease all the facilities that we currently occupy from unaffiliated third parties. We believe that the facilities that we currently lease are adequate to meet our needs for the foreseeable future.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We believe that our intellectual property rights distinguish our offerings and brand and sustain our competitive advantages. We rely on a combination of copyright and trademark law, trade secret protection and confidentiality agreements with employees to protect our intellectual property rights. For instance, we seek copyright and right of producers of audio-visual recordings protection for our premium course offerings and</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60"/>
          </w:cols>
          <w:pgMar w:left="320" w:top="452" w:right="6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520"/>
        <w:spacing w:after="0" w:line="261" w:lineRule="auto"/>
        <w:rPr>
          <w:sz w:val="20"/>
          <w:szCs w:val="20"/>
          <w:color w:val="auto"/>
        </w:rPr>
      </w:pPr>
      <w:r>
        <w:rPr>
          <w:rFonts w:ascii="Times New Roman" w:cs="Times New Roman" w:eastAsia="Times New Roman" w:hAnsi="Times New Roman"/>
          <w:sz w:val="18"/>
          <w:szCs w:val="18"/>
          <w:color w:val="auto"/>
        </w:rPr>
        <w:t>software copyright protection for our platforms. Under the employment agreements we enter into with our employees, they acknowledge that the intellectual property created by them during the course of their employment belongs to us. We also closely monitor any infringement or misappropriation of our intellectual property rights.</w:t>
      </w:r>
    </w:p>
    <w:p>
      <w:pPr>
        <w:spacing w:after="0" w:line="176" w:lineRule="exact"/>
        <w:rPr>
          <w:sz w:val="20"/>
          <w:szCs w:val="20"/>
          <w:color w:val="auto"/>
        </w:rPr>
      </w:pPr>
    </w:p>
    <w:p>
      <w:pPr>
        <w:ind w:left="200" w:right="160" w:firstLine="434"/>
        <w:spacing w:after="0" w:line="275" w:lineRule="auto"/>
        <w:rPr>
          <w:sz w:val="20"/>
          <w:szCs w:val="20"/>
          <w:color w:val="auto"/>
        </w:rPr>
      </w:pPr>
      <w:r>
        <w:rPr>
          <w:rFonts w:ascii="Times New Roman" w:cs="Times New Roman" w:eastAsia="Times New Roman" w:hAnsi="Times New Roman"/>
          <w:sz w:val="18"/>
          <w:szCs w:val="18"/>
          <w:color w:val="auto"/>
        </w:rPr>
        <w:t>As of the date of this prospectus, we have registered five patents, 82 domain names, 170 copyrights (including 31 software copyrights), and 245 trademarks in China, including certain trademarks relating to our core brand of “</w:t>
      </w:r>
      <w:r>
        <w:rPr>
          <w:rFonts w:ascii="Times New Roman" w:cs="Times New Roman" w:eastAsia="Times New Roman" w:hAnsi="Times New Roman"/>
          <w:sz w:val="18"/>
          <w:szCs w:val="18"/>
          <w:i w:val="1"/>
          <w:iCs w:val="1"/>
          <w:color w:val="auto"/>
        </w:rPr>
        <w:t>QiNiu</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JiangZhen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QianChi.</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14" w:lineRule="exact"/>
        <w:rPr>
          <w:sz w:val="20"/>
          <w:szCs w:val="20"/>
          <w:color w:val="auto"/>
        </w:rPr>
      </w:pPr>
    </w:p>
    <w:p>
      <w:pPr>
        <w:jc w:val="both"/>
        <w:ind w:left="200" w:firstLine="434"/>
        <w:spacing w:after="0" w:line="261" w:lineRule="auto"/>
        <w:rPr>
          <w:sz w:val="20"/>
          <w:szCs w:val="20"/>
          <w:color w:val="auto"/>
        </w:rPr>
      </w:pPr>
      <w:r>
        <w:rPr>
          <w:rFonts w:ascii="Times New Roman" w:cs="Times New Roman" w:eastAsia="Times New Roman" w:hAnsi="Times New Roman"/>
          <w:sz w:val="18"/>
          <w:szCs w:val="18"/>
          <w:color w:val="auto"/>
        </w:rPr>
        <w:t>As we operate primarily online, we do not maintain any liability insurance or property insurance policies covering users, equipment and facilities for injuries, death or losses due to fire, earthquake, flood or any other disaster. Consistent with customary industry practice in China, we do not maintain business interruption insurance, nor do we maintain key-man life insurance.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4"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From time to time, we may become a party to various legal or administrative proceedings arising in the ordinary course of our business, including labor disputes, customer complaints in relation to our refund policy, course content, and other dissatisfactions, administrative penalties in relation to our advertisements, and trademark and copyright disputes with third parties. We are currently not a party to, and we are not aware of any threat of, any legal or administrative proceedings that, in the opinion of our management, are likely to have any material and adverse effect on our business, results of operations or financial condition.</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320" w:top="452" w:right="5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8" w:lineRule="exact"/>
        <w:rPr>
          <w:sz w:val="20"/>
          <w:szCs w:val="20"/>
          <w:color w:val="auto"/>
        </w:rPr>
      </w:pPr>
    </w:p>
    <w:p>
      <w:pPr>
        <w:ind w:left="200" w:right="6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in China or the rights our shareholders to receive dividends and other distributions from us.</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In March 2019, the Foreign Investment Law of PRC (the “Foreign Investment Law”) was promulgated by National People’s Congress and came into effect in January 1, 2020, which replaced the Sino-Foreign Equity Joint Venture Enterprise Law of PRC, the Sino-Foreign Cooperative Joint Venture Enterprise Law of PRC and the Wholly Foreign-owned Enterprise Law of PRC, and became the legal foundation for foreign investment in the PRC. To ensure the effective implementation of the Foreign Investment Law, the Regulations on Implementing the Foreign Investment Law of PRC (the “Implementation Regulations”), was promulgated by State Council in December 2019 and came into effect on January 1, 2020, which further provides that a foreign-invested enterprise established prior to the effective date of the Foreign Investment Law shall adjust its legal form or governance structure to comply with the provisions of the Company Law of the PRC or the Partnership Enterprises Law of the PRC, as applicable, and complete amendment registration before January 1, 2025.</w:t>
      </w:r>
    </w:p>
    <w:p>
      <w:pPr>
        <w:spacing w:after="0" w:line="190"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According to the Foreign Investment Law, the State Council shall promulgate or approve a list of special administrative measures for access of foreign investments (the “Negative List”). The Foreign Investment Law grants national treatment to foreign-invested entities, except for those investing in the industries specified in the Negative List.</w:t>
      </w:r>
    </w:p>
    <w:p>
      <w:pPr>
        <w:spacing w:after="0" w:line="176"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The NDRC and MOFCOM jointly issued the Special Administrative Measures (Negative List) for Foreign Investment Access (2021 version) (the “2021 Negative List”) in December 2021. The 2021 Negative List sets out the industries in which foreign investments are prohibited or restricted. Pursuant to the Foreign Investment Law, the Implementation Regulations and the 2021 Negative List, foreign investors shall not make investments in prohibited industries as specified in the Negative List, while foreign investments must satisfy certain conditions stipulated in the Negative List for investment in restricted industries. Industries not listed in the Negative List are generally deemed “permitted” for foreign investments. In the meantime, relevant competent government departments will formulate a catalog of the specific industries, fields and regions in which foreign investors are encouraged and guided to invest according to the national economic and social development needs.</w:t>
      </w:r>
    </w:p>
    <w:p>
      <w:pPr>
        <w:spacing w:after="0" w:line="187" w:lineRule="exact"/>
        <w:rPr>
          <w:sz w:val="20"/>
          <w:szCs w:val="20"/>
          <w:color w:val="auto"/>
        </w:rPr>
      </w:pPr>
    </w:p>
    <w:p>
      <w:pPr>
        <w:jc w:val="both"/>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our businesses by nature in China are mainly providing value-add telecommunications service and other internet related businesses which fall within the 2021 Negative List. The business operations that are restricted or prohibited for foreign investment are conducted through the affiliated entities.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Value-Added Telecommunication Services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value-added telecommunications services</w:t>
      </w:r>
    </w:p>
    <w:p>
      <w:pPr>
        <w:spacing w:after="0" w:line="116"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The Telecommunications Regulations of the PRC (the “Telecommunications Regulations”), as promulgated by the State Council in 2000 and most recently amended in 2016, requires telecommunications service providers to obtain operating licenses prior to the commencement of their operations. The Telecommunications Regulations distinguish “infrastructure telecommunications services” from “value-added telecommunications services”. According to the Telecommunications Regulations, operators of value-added telecommunications services shall obtain value-added telecommunications business operation licenses from the MIIT or its provincial branches prior to the commencement of such services.</w:t>
      </w:r>
    </w:p>
    <w:p>
      <w:pPr>
        <w:spacing w:after="0" w:line="185"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color w:val="auto"/>
        </w:rPr>
        <w:t>Moreover, the Administrative Measures on Telecommunications Business Operating Licenses (2017 Revision), promulgated by the MIIT in July 2017, set forth more provisions to specify the types of licenses required to operate value-added telecommunications services, the qualifications and procedures for applying such licenses and the administration and supervision of such licenses.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0"/>
          </w:cols>
          <w:pgMar w:left="320" w:top="452" w:right="5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 restriction on value-added telecommunications services</w:t>
      </w:r>
    </w:p>
    <w:p>
      <w:pPr>
        <w:spacing w:after="0" w:line="116"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Pursuant to the Regulations for the Foreign-Invested Telecommunications Enterprises, which was promulgated by the State Council in 2001 and most recently amended on March 29, 2022, foreign-invested value-added telecommunication enterprises in the PRC shall be established as Sino-foreign equity joint ventures, and the ultimate foreign equity ownership in a foreign-invested value-added telecommunication enterprise is subject to a cap of 50%. The 2021 Negative List further states that the equity ratio of foreign investment in the value-added telecommunications enterprises shall not exceed 50% except for the investment in e-commerce operation business, domestic multi-party communication business, information storage and re-transmission business or call center business.</w:t>
      </w:r>
    </w:p>
    <w:p>
      <w:pPr>
        <w:spacing w:after="0" w:line="185"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In 2006, the Ministry of Information Industry issued the Circular on Strengthening the Administration of Foreign Investment in and Operation of Value-added Telecommunications Business, according to which, a foreign investor in the telecommunications service industry in the PRC must establish a foreign invested enterprise and apply for a telecommunications business operation license, while a PRC domestic company that holds a value-added telecommunications business operation licenses is prohibited from leasing, transferring or selling such license to foreign investors in any means, and from providing any assistance, including providing resources, sits or facilities, to foreign investors that illegally conduct value-added telecommunications business in the PRC.</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information services</w:t>
      </w:r>
    </w:p>
    <w:p>
      <w:pPr>
        <w:spacing w:after="0" w:line="116"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(the “Internet Measures”), which was promulgated by the State Council in September 2000 and was later amended in 2011, set out guidelines on the provision of internet information services. The Internet Measures classified internet information services into commercial internet information services and non-commercial internet information services, and according to which, a commercial operator of internet content provision services must obtain a ICP License, from the appropriate telecommunications authorities.</w:t>
      </w:r>
    </w:p>
    <w:p>
      <w:pPr>
        <w:spacing w:after="0" w:line="181" w:lineRule="exact"/>
        <w:rPr>
          <w:sz w:val="20"/>
          <w:szCs w:val="20"/>
          <w:color w:val="auto"/>
        </w:rPr>
      </w:pPr>
    </w:p>
    <w:p>
      <w:pPr>
        <w:ind w:left="200" w:firstLine="434"/>
        <w:spacing w:after="0" w:line="268" w:lineRule="auto"/>
        <w:rPr>
          <w:sz w:val="20"/>
          <w:szCs w:val="20"/>
          <w:color w:val="auto"/>
        </w:rPr>
      </w:pPr>
      <w:r>
        <w:rPr>
          <w:rFonts w:ascii="Times New Roman" w:cs="Times New Roman" w:eastAsia="Times New Roman" w:hAnsi="Times New Roman"/>
          <w:sz w:val="17"/>
          <w:szCs w:val="17"/>
          <w:color w:val="auto"/>
        </w:rPr>
        <w:t>According to the Internet Measures, violators may be subject to penalties, including criminal sanctions, for providing internet content that opposes the fundamental principles stated in the Constitution of the PRC; compromises national security, divulges national secrets, subverts national power or damages national unity; harms national dignity or interest; incites ethnic hatred or racial discrimination or damages inter-ethnic unity; undermines the PRC’s religious policy or propagates superstition; disseminates rumors, disturbs social order or disrupts social stability; disseminates obscenity or pornography, encourages gambling, violence, murder or fear or incites the commission of a crime; insults or slanders a third party or infringes upon the lawful rights and interests of a third party; or is otherwise prohibited by law or administrative regulations. The PRC government may order ICP License holders that violate any of the abovementioned content restrictions to rectify and, under serious conditions, revoke the ICP License.</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Online Transmission of Audio-Visual Programs</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State Administration of Radio, Film and Television (the “SARFT”) (currently known as National Radio and Television Administration), and the MIIT jointly promulgated the Administrative Provisions on Internet Audio-Visual Program Services in December 2007 (the “Audio-Visual Program Provisions”), which was latest amended in August 2015. According to the Audio-Visual Program Provisions, “internet audio-visual program services” is defined as activities of producing, redacting and integrating audio-visual programs, and providers of internet audio-visual program services are required to obtain a license for online transmission of audio-visual programs (the “Audio-Visual License”). Entities engaged in Internet audio-visual program services without obtaining the Audio-Visual License may be subject to warning, order to rectify, and a fine of no more than RMB30,000. Under serious conditions, the equipment used for such activities shall be confiscated and a fine of one but no more than two times of the investment amount may be imposed.</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320" w:top="452" w:right="5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However, according to the Notice on Relevant Issues Concerning Application and Approval of License for the Online Transmission of Audio-Visual Programs, which was issued by the SARFT in May 2008 and was latest amended in 2015, applicants of the Audio-Visual License shall be wholly state-owned or state-controlled entities and foreign-invested enterprises are not eligible to apply.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Production and Distribution of Radio and Television Programs</w:t>
      </w:r>
    </w:p>
    <w:p>
      <w:pPr>
        <w:spacing w:after="0" w:line="114"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According to the Provisions for the Administration of the Production and Distribution of Radio and Television Programs promulgated by the SARFT in 2004 and was latest amended on October 29, 2020, any entity that produces or operates radio or television programs must obtain a Permit for Production and Operation of Radio and Television Programs. Entities holding such permits shall conduct their business within the permitted scope as provided in their permits. Entities engaging in the producing or operating of radio or television programs without such permit shall be subject to the closure of business, confiscation of used tools, equipment and carriers, as well as a fine between RMB10,000 to RMB50,000.</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Online Publishing</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State Administration of Press, Publication, Radio, Film and Television (the “SAPPRFT”) (whose duty has been brought under the National Administration of Press and Publication) and the MIIT jointly issued the Administrative Provisions on Online Publishing Services in February 2016 (the “Online Publishing Provisions”). Pursuant to the Online Publishing Provisions, any entity providing online publishing services shall obtain an Online Publishing Services Permit. “Online publishing services” refer to the provision of online publications to the public via information networks; “online publications” refer to digital works with publishing features such as having been edited, produced or processed and are available to the public through information networks. Entities engaging in the online publishing services without such permit shall be subject to the closure of business, confiscation of illegal income, used tools and equipment, as well as a fine of more than five times but less than ten times of the illegal income, if such illegal income is more than RMB10,000; or a fine of less than RMB50,000, if the illegal income is less than RMB10,000.</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Online Live Streaming Services</w:t>
      </w:r>
    </w:p>
    <w:p>
      <w:pPr>
        <w:spacing w:after="0" w:line="114"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The CAC issued the Administrative Regulations on Online Live Streaming Services (the “Online Live Streaming Regulations”) in 2016. According to the Online Live Streaming Regulations, provision of online live streaming services through online performances and online audio-visual programs is subject to the relevant qualifications specified in the laws and regulations. Neither a provider nor user of online live streaming services may take advantage of online live streaming services to engage in activities prohibited by laws and regulations, such as undermining national security, destabilize society, disturbing social order, infringing on others’ lawful rights and interests, and disseminating pornographic or obscene materials, and may take advantage of online live streaming services to produce, reproduce, release and disseminate information prohibited by laws and regulations.</w:t>
      </w:r>
    </w:p>
    <w:p>
      <w:pPr>
        <w:spacing w:after="0" w:line="170"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The National Radio and Television Administration and the Ministry of Culture and Tourism of the PRC jointly issued the Code of Conduct for Online Streamers on June 8, 2022, to regulate the conduct of streamers who provide online performances and audio-visual program services through the Internet, including those who live stream on the online platforms, conduct real-time interactions with users, and perform in uploaded audio or video programs. For live streaming content that requires a high level of professionalism (such as medical and health care, finance, law, education), the streamers should obtain the corresponding qualifications and report to the live streaming platform, and the live streaming platform shall review and record the qualifications of the streamers.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Internet Information Security and Censorship</w:t>
      </w:r>
    </w:p>
    <w:p>
      <w:pPr>
        <w:spacing w:after="0" w:line="114" w:lineRule="exact"/>
        <w:rPr>
          <w:sz w:val="20"/>
          <w:szCs w:val="20"/>
          <w:color w:val="auto"/>
        </w:rPr>
      </w:pPr>
    </w:p>
    <w:p>
      <w:pPr>
        <w:ind w:left="200" w:right="240" w:firstLine="434"/>
        <w:spacing w:after="0" w:line="275" w:lineRule="auto"/>
        <w:rPr>
          <w:sz w:val="20"/>
          <w:szCs w:val="20"/>
          <w:color w:val="auto"/>
        </w:rPr>
      </w:pPr>
      <w:r>
        <w:rPr>
          <w:rFonts w:ascii="Times New Roman" w:cs="Times New Roman" w:eastAsia="Times New Roman" w:hAnsi="Times New Roman"/>
          <w:sz w:val="18"/>
          <w:szCs w:val="18"/>
          <w:color w:val="auto"/>
        </w:rPr>
        <w:t>The Decisions on Protection of Internet Security enacted by the Standing Committee of the National People’s Congress in 2000, as amended in 2009, provides that, among other things, the following activities</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0"/>
          </w:cols>
          <w:pgMar w:left="320" w:top="452" w:right="5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53" w:lineRule="auto"/>
        <w:rPr>
          <w:sz w:val="20"/>
          <w:szCs w:val="20"/>
          <w:color w:val="auto"/>
        </w:rPr>
      </w:pPr>
      <w:r>
        <w:rPr>
          <w:rFonts w:ascii="Times New Roman" w:cs="Times New Roman" w:eastAsia="Times New Roman" w:hAnsi="Times New Roman"/>
          <w:sz w:val="18"/>
          <w:szCs w:val="18"/>
          <w:color w:val="auto"/>
        </w:rPr>
        <w:t>conducted through the internet, if constituted a crime according to PRC laws, are subject to criminal punishment: (1) intrusion into a strategically significant computer or system; (2) intentionally inventing and disseminating destructive programs, such as computer viruses, to attack the computer system and the communications network, thereby destroying the computer system and the communications networks; (3) violating national regulations, suspending the computer networks or the communication services without authorization; (4) leaking state secrets; (5) spreading false commercial information; or (6) infringing intellectual property rights through internet.</w:t>
      </w:r>
    </w:p>
    <w:p>
      <w:pPr>
        <w:spacing w:after="0" w:line="185" w:lineRule="exact"/>
        <w:rPr>
          <w:sz w:val="20"/>
          <w:szCs w:val="20"/>
          <w:color w:val="auto"/>
        </w:rPr>
      </w:pPr>
    </w:p>
    <w:p>
      <w:pPr>
        <w:ind w:left="200" w:firstLine="434"/>
        <w:spacing w:after="0" w:line="269" w:lineRule="auto"/>
        <w:rPr>
          <w:sz w:val="20"/>
          <w:szCs w:val="20"/>
          <w:color w:val="auto"/>
        </w:rPr>
      </w:pPr>
      <w:r>
        <w:rPr>
          <w:rFonts w:ascii="Times New Roman" w:cs="Times New Roman" w:eastAsia="Times New Roman" w:hAnsi="Times New Roman"/>
          <w:sz w:val="17"/>
          <w:szCs w:val="17"/>
          <w:color w:val="auto"/>
        </w:rPr>
        <w:t>In 2016, the Standing Committee of the National People’s Congress promulgated the Cybersecurity Law of the PRC (the “Cybersecurity Law”) which applies to the construction, operation, maintenance and use of networks as well as the supervision and administration of cybersecurity in the PRC. According to the Cybersecurity Law, network operators are subject to various security protection-related obligations, including but not limited to</w:t>
      </w:r>
    </w:p>
    <w:p>
      <w:pPr>
        <w:ind w:left="200" w:right="220" w:hanging="1"/>
        <w:spacing w:after="0" w:line="247" w:lineRule="auto"/>
        <w:tabs>
          <w:tab w:leader="none" w:pos="4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security protection obligations under graded system for cybersecurity protection requirements, which include formulating internal security management rules and operating instructions, appointing cybersecurity responsible personnel and their duties, adopting technical measures to prevent computer viruses, cyber-attack, cyber-intrusion and other activities endangering cybersecurity, adopting technical measures to monitor and record network operation status and cybersecurity events; (2) formulating a emergency plan and promptly responding and handling security risks, initiating the emergency plans, taking appropriate remedial measures and reporting to regulatory authorities in the event comprising cybersecurity threats; and (3) providing technical assistance and support to public security and national security authorities for protection of national security and criminal investigations in accordance with the law.</w:t>
      </w:r>
    </w:p>
    <w:p>
      <w:pPr>
        <w:spacing w:after="0" w:line="192"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of PRC (the “Data Security Law”) which became effective on September 1, 2021. The Data Security Law mainly sets forth specific provisions regarding establishing basic systems for data security management, including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spacing w:after="0" w:line="185"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competent departments and administration departments of each important industry and field (the “Protection Departments”), shall be responsible to formulate determination rules and determine the critical information infrastructure operator in the respective important industry or field. The result of the determination of critical information infrastructure operator shall be informed to the operator. As of the Latest Practicable Date, no detailed rules or implementation has been issued by any Protection Departments and we have not been informed as a critical information infrastructure operator by any competent departments or administration departments.</w:t>
      </w:r>
    </w:p>
    <w:p>
      <w:pPr>
        <w:spacing w:after="0" w:line="193" w:lineRule="exact"/>
        <w:rPr>
          <w:sz w:val="20"/>
          <w:szCs w:val="20"/>
          <w:color w:val="auto"/>
        </w:rPr>
      </w:pPr>
    </w:p>
    <w:p>
      <w:pPr>
        <w:ind w:left="200" w:right="180" w:firstLine="434"/>
        <w:spacing w:after="0" w:line="251" w:lineRule="auto"/>
        <w:rPr>
          <w:sz w:val="20"/>
          <w:szCs w:val="20"/>
          <w:color w:val="auto"/>
        </w:rPr>
      </w:pPr>
      <w:r>
        <w:rPr>
          <w:rFonts w:ascii="Times New Roman" w:cs="Times New Roman" w:eastAsia="Times New Roman" w:hAnsi="Times New Roman"/>
          <w:sz w:val="18"/>
          <w:szCs w:val="18"/>
          <w:color w:val="auto"/>
        </w:rPr>
        <w:t>On November 14, 2021, the CAC published the Regulations on Network Data Security Management (Draft for Comments) (the “Draft Regulations on Cyber Data Security Management”), which specified that data processor who processing the personal information of more than one million individuals and seeks to go public overseas, shall apply for cybersecurity review. In addition, the Draft Regulations on Cyber Data Security Management also regulate other specific requirements in respect of the data processing activities conducted by data processors through the internet in view of personal data protection, important data safety, cross-broader data safety management and obligations of network platform operators. For instance, in one of the following situations, data processors shall delete or anonymize personal information within 15 business days: (1) the purpose of processing personal information has been achieved or the purpose of processing is no longer needed;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40"/>
          </w:cols>
          <w:pgMar w:left="320" w:top="452" w:right="5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460" w:hanging="261"/>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term agreed with the users or specified in the personal information processing rules has expired; (3) the service has been terminated or</w:t>
      </w:r>
    </w:p>
    <w:p>
      <w:pPr>
        <w:spacing w:after="0" w:line="24" w:lineRule="exact"/>
        <w:rPr>
          <w:rFonts w:ascii="Times New Roman" w:cs="Times New Roman" w:eastAsia="Times New Roman" w:hAnsi="Times New Roman"/>
          <w:sz w:val="18"/>
          <w:szCs w:val="18"/>
          <w:color w:val="auto"/>
        </w:rPr>
      </w:pPr>
    </w:p>
    <w:p>
      <w:pPr>
        <w:ind w:left="2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has been canceled by the individual; or (4) unnecessary personal information or personal information unavoidably collected due to the use of automatic data collection technology but without the consent of the individual. For the processing of important data, specific requirements shall be complied with. For instance, processors of important data shall specify the responsible person of data safety, establish a data safety management department and make filing to the cyberspace administration at the districted city level within 15 business days after the identification of their important data.</w:t>
      </w:r>
    </w:p>
    <w:p>
      <w:pPr>
        <w:spacing w:after="0" w:line="188" w:lineRule="exact"/>
        <w:rPr>
          <w:sz w:val="20"/>
          <w:szCs w:val="20"/>
          <w:color w:val="auto"/>
        </w:rPr>
      </w:pPr>
    </w:p>
    <w:p>
      <w:pPr>
        <w:ind w:left="200" w:right="20" w:firstLine="434"/>
        <w:spacing w:after="0" w:line="266" w:lineRule="auto"/>
        <w:rPr>
          <w:sz w:val="20"/>
          <w:szCs w:val="20"/>
          <w:color w:val="auto"/>
        </w:rPr>
      </w:pPr>
      <w:r>
        <w:rPr>
          <w:rFonts w:ascii="Times New Roman" w:cs="Times New Roman" w:eastAsia="Times New Roman" w:hAnsi="Times New Roman"/>
          <w:sz w:val="17"/>
          <w:szCs w:val="17"/>
          <w:color w:val="auto"/>
        </w:rPr>
        <w:t>Data processors processing personal information of more than one million people shall also comply with the provisions for processing of important data stipulated in Draft Regulations on Cyber Data Security Management for important data processors. Data processors dealing with important data or listing overseas should carry out an annual data security assessment by themselves or by entrusting data security service agencies, and each year before January 31 data security assessment report for the previous year shall be submitted to the districted city level cyberspace administration department. When data collected and generated within the PRC are provided to the data processors overseas, if such data includes important data, or if the relevant data processor is a critical information infrastructure operator or processes personal information of more than one million people, the data processor shall go through the security assessment of cross-border data transfer organized by the CAC. Any failure to comply with such requirements may subject us to, among others, suspension of services, fines, revoking relevant business permits or business licenses and penalties. Since the Regulations on Network Data Security Management (Draft for Comments) has not been formally adopted as of the date of this document, the revised draft (especially its operative provisions) and its anticipated adoption or effective date are subject to further changes with substantial uncertainty.</w:t>
      </w:r>
    </w:p>
    <w:p>
      <w:pPr>
        <w:spacing w:after="0" w:line="174"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(the “Cybersecurity Review Measures”) which became effective on February 15, 2022, and the Measures for Cybersecurity Review which took effect on June 1, 2020 was abolished at the same time. The Cybersecurity Review Measures provides for certain circumstances under which network platform operators are subject to cybersecurity review.</w:t>
      </w:r>
    </w:p>
    <w:p>
      <w:pPr>
        <w:spacing w:after="0" w:line="181"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Outbound Data Transfer, effective from September 1, 2022 (the “Security Assessment Measures”) to regulate outbound data transfer activities, protect the rights and interests of personal information, safeguard national security and social public interests, and promote the cross-border security and free flow of data. Furthermore, the Security Assessment Measures provide that the security assessment for outbound data transfers shall follow principles of the combination of pre-assessment and continuous supervision and the combination of risk self-assessment and security assessment, so as to prevent the security risks arising from outbound data transfers, and ensure the orderly and free flow of data according to the law. For outbound data transfers that have been carried out prior to the implementation of the Security Assessment Measures, if not in compliance with the Security Assessment Measures, rectification shall be completed within 6 months from the implementation of the Security Assessment Measures. Considering the nature of our daily operations, we will not trigger outbound data transfer during such daily operations. We do not expect the Security Assessment Measures to have material impact on our daily operations in respect of the outbound data transfer. However, since the Security Assessment Measures is newly promulgated, there remains uncertainty as to how the new Measures will be implemented and interpreted by the competent authorities. See “Risk Factors — Risks Related to Our Business and Industry — The regulatory framework for data security and personal information protection in China is rapidly evolving, and we could face challenges in our continued compliance with the heightened regulatory scrutiny.”</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Privacy Protection</w:t>
      </w:r>
    </w:p>
    <w:p>
      <w:pPr>
        <w:spacing w:after="0" w:line="114" w:lineRule="exact"/>
        <w:rPr>
          <w:sz w:val="20"/>
          <w:szCs w:val="20"/>
          <w:color w:val="auto"/>
        </w:rPr>
      </w:pPr>
    </w:p>
    <w:p>
      <w:pPr>
        <w:jc w:val="both"/>
        <w:ind w:left="200" w:firstLine="434"/>
        <w:spacing w:after="0" w:line="261" w:lineRule="auto"/>
        <w:rPr>
          <w:sz w:val="20"/>
          <w:szCs w:val="20"/>
          <w:color w:val="auto"/>
        </w:rPr>
      </w:pPr>
      <w:r>
        <w:rPr>
          <w:rFonts w:ascii="Times New Roman" w:cs="Times New Roman" w:eastAsia="Times New Roman" w:hAnsi="Times New Roman"/>
          <w:sz w:val="18"/>
          <w:szCs w:val="18"/>
          <w:color w:val="auto"/>
        </w:rPr>
        <w:t>Pursuant to the PRC Civil Code, personal information of a natural person shall be protected by the law. Any organization or individual that need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40"/>
          </w:cols>
          <w:pgMar w:left="320" w:top="452" w:right="5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300" w:firstLine="434"/>
        <w:spacing w:after="0" w:line="272" w:lineRule="auto"/>
        <w:rPr>
          <w:sz w:val="20"/>
          <w:szCs w:val="20"/>
          <w:color w:val="auto"/>
        </w:rPr>
      </w:pPr>
      <w:r>
        <w:rPr>
          <w:rFonts w:ascii="Times New Roman" w:cs="Times New Roman" w:eastAsia="Times New Roman" w:hAnsi="Times New Roman"/>
          <w:sz w:val="17"/>
          <w:szCs w:val="17"/>
          <w:color w:val="auto"/>
        </w:rPr>
        <w:t>Further, the Ninth Amendment to the Criminal Law of the PRC stipulates that any internet service provider that fails to fulfill the obligations related to Internet information security as required by applicable laws and refuses to take corrective measures, will be subject to criminal liability for</w:t>
      </w:r>
    </w:p>
    <w:p>
      <w:pPr>
        <w:spacing w:after="0" w:line="2" w:lineRule="exact"/>
        <w:rPr>
          <w:sz w:val="20"/>
          <w:szCs w:val="20"/>
          <w:color w:val="auto"/>
        </w:rPr>
      </w:pPr>
    </w:p>
    <w:p>
      <w:pPr>
        <w:ind w:left="200" w:right="220" w:hanging="1"/>
        <w:spacing w:after="0" w:line="250" w:lineRule="auto"/>
        <w:tabs>
          <w:tab w:leader="none" w:pos="4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large-scale dissemination of illegal information; (2) any severe effect due to the leakage of users’ personal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spacing w:after="0" w:line="185"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The Ministry of Public Security issued the Regulations on Technological Measures for Internet Security Protection in December 2005, requires Internet service providers to take proper measures including anti-virus, data back-up and other related measures, and to keep records of certain information about their users (including user registration information, log-in and log-out time, IP address, content and time of posts by users) for at least 60 days, and detect illegal information, stop transmission of such information, and keep relevant records. Internet services providers are prohibited from unauthorized disclosure of users’ information to any third parties unless such disclosure is required by the laws and regulations. It has also required to establish management systems and take technological measures to safeguard the freedom and secrecy of the users’ correspondences.</w:t>
      </w:r>
    </w:p>
    <w:p>
      <w:pPr>
        <w:spacing w:after="0" w:line="170"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In addition, according to the Administrative Provisions on Mobile Internet Application Information Services (the “Mobile Application Administrative Provisions”) which was promulgated by the CAC in 2016, the mobile internet applications providers shall acquire relevant qualifications required by laws and regulations and implement the information security management responsibilities strictly and fulfill their obligations, including real-name system, protection of users’ information, examination and management of information content, etc. The CAC amended the Mobile Application Administrative Provisions in June 2022, which effective from August 1, 2022, and emphasizes that mobile internet applications providers shall comply with relevant provisions on the scope of necessary personal information when engaging in personal information processing activities. The application providers shall not compel the user to agree to the processing of personal information for any reason, and shall not refuse the user to use its basic functions and services because the user does not agree to provide non-essential personal information. As of the date of this document, we have adopted real-name registration system and established the user information security protection mechanism pursuant to the Mobile Application Administrative Provisions.</w:t>
      </w:r>
    </w:p>
    <w:p>
      <w:pPr>
        <w:spacing w:after="0" w:line="193"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Pursuant to the Decisions on Strengthening the Protection of Online information, issued by the Standing Committee of the National People’s Congress in 2012 and the Protection Provisions for the Personal Information of Telecommunications and Internet Users promulgated by the MIIT in 2013, telecommunication business operators and internet service providers are required to set up their own rules for collecting and use of internet users’ information and are prohibited from collecting or use such information without consent from users. Moreover, telecommunication business operators and internet service providers shall strictly keep users’ personal information confidential and shall not divulge, tamper with, damage, sell or illegally provide others with such information.</w:t>
      </w:r>
    </w:p>
    <w:p>
      <w:pPr>
        <w:spacing w:after="0" w:line="185" w:lineRule="exact"/>
        <w:rPr>
          <w:sz w:val="20"/>
          <w:szCs w:val="20"/>
          <w:color w:val="auto"/>
        </w:rPr>
      </w:pPr>
    </w:p>
    <w:p>
      <w:pPr>
        <w:ind w:left="200" w:right="320" w:firstLine="434"/>
        <w:spacing w:after="0" w:line="256" w:lineRule="auto"/>
        <w:rPr>
          <w:sz w:val="20"/>
          <w:szCs w:val="20"/>
          <w:color w:val="auto"/>
        </w:rPr>
      </w:pPr>
      <w:r>
        <w:rPr>
          <w:rFonts w:ascii="Times New Roman" w:cs="Times New Roman" w:eastAsia="Times New Roman" w:hAnsi="Times New Roman"/>
          <w:sz w:val="18"/>
          <w:szCs w:val="18"/>
          <w:color w:val="auto"/>
        </w:rPr>
        <w:t>The CAC, the MIIT, the Ministry of Public Security and the SAMR jointly issued the Notice on Promulgation of the Rules on the Scope of Necessary Personal Information for Common Types of Mobile Internet Applications in March 2021, effective from May 1, 2021, specifying that the operator of an internet application shall not refuse an user to use the App’s basic functional services on the ground that the user disagree with the collection of unnecessary personal information.</w:t>
      </w:r>
    </w:p>
    <w:p>
      <w:pPr>
        <w:spacing w:after="0" w:line="181"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Law of Personal Information Protection of PRC (the “Personal Information Protection Law”) which became effective on November 1, 2021. Pursuant to the Personal Information Protection Law, the processing of personal information includes the collection, storage, use, processing, transmission, provision, disclosure, deletion, etc. of personal information, and before processing personal information, personal information processors should truthfully, accurately and completely inform individuals of the following matters in a conspicuous manner and in clear and</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40"/>
          </w:cols>
          <w:pgMar w:left="320" w:top="452" w:right="5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40"/>
        <w:spacing w:after="0" w:line="249" w:lineRule="auto"/>
        <w:rPr>
          <w:sz w:val="20"/>
          <w:szCs w:val="20"/>
          <w:color w:val="auto"/>
        </w:rPr>
      </w:pPr>
      <w:r>
        <w:rPr>
          <w:rFonts w:ascii="Times New Roman" w:cs="Times New Roman" w:eastAsia="Times New Roman" w:hAnsi="Times New Roman"/>
          <w:sz w:val="18"/>
          <w:szCs w:val="18"/>
          <w:color w:val="auto"/>
        </w:rPr>
        <w:t>easy-to-understand language: (1) the name and contact information of the personal information processor; (2) purpose of processing personal information, processing method, type of personal information processed, and retention period; (3) methods and procedures for individuals to exercise their rights under this law; and (4) other matters that should be notified as required by laws and administrative regulations. Personal information processors should also take the following measures to ensure that personal information processing activities comply with laws and administrative regulations based on the processing purpose, processing methods, types of personal information, impact on personal rights and interests, and possible security risks, etc., and to prevent unauthorized access and personal information leakage, tampering, and loss: (1) formulate internal management systems and operating procedures; (2) implement classified management of personal information; (3) adopt corresponding security technical measures such as encryption and de-identification; (4) reasonably determine the operating authority for personal information processing, and regularly conduct safety education and training for practitioners; (5) formulate and organize the implementation of emergency plans for personal information security incidents; and (6) other measures stipulated by laws and administrative regulations.</w:t>
      </w:r>
    </w:p>
    <w:p>
      <w:pPr>
        <w:spacing w:after="0" w:line="193"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Where personal information is processed in violation of the provisions of the Personal Information Protection Law, or the processing of personal information fails to fulfill the personal protection obligations hereunder, the department performing personal information protection duties shall order corrections, give warnings, confiscate illegal gains, and order to suspend or terminate the provision of services; if the personal information processor refuses to make corrections, a fine of not more than RMB1 million shall be imposed; the directly responsible person in charge and other directly responsible personnel shall be fined not less than RMB10,000 but not more than RMB100,000. If the aforesaid illegal act and the circumstances are serious, the department performing personal information protection duties at or above the provincial level shall order the personal information processor to make corrections, confiscate the illegal gains, and impose a fine of less than RMB50 million or less than 5% of the previous year’s turnover. It can also order the suspension of relevant business or suspend business for rectification, notify the relevant competent authority to revoke the relevant permits or the business license; impose a fine of RMB100,000 up to RMB1 million on the directly responsible person in charge and other directly responsible personnel, and may decide to prohibit he serves as a director, supervisor, senior manager and person in charge of personal information protection of related companies within a certain period of time.</w:t>
      </w:r>
    </w:p>
    <w:p>
      <w:pPr>
        <w:spacing w:after="0" w:line="191"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On June 27, 2022, the CAC promulgated the Administrative Provisions on the Account Information of Internet Users, effective from August 1, 2022 (the “Account Information Provisions”) which applies to the registration, use, and management of internet users’ account information by internet information service providers. The Account Information Provisions stipulates that internet information service providers shall, in accordance with laws, administrative regulations and relevant state regulations, formulate and disclose internet user account management rules and platform conventions, sign service agreements with internet users, and clarify the rights and obligations related to account information registration, use, and management. The Account Information Provisions also requires that the internet information service providers shall protect and handle internet users’ account information in accordance with law, and take measures to prevent unauthorized access and leakage, tampering, and loss of personal information. The internet information service providers shall set up convenient complaints and reporting portals in prominent locations, publicize complaints and reporting methods, improve mechanisms for acceptance, screening, disposal, and feedback, clarify processing procedures and time limits for feedback, and promptly handle complaints and reports from users and the public. Failure to comply with the above requirements may subject to warning, be ordered to rectify within a prescribed time limit and may be imposed a fine ranging from RMB10,000 to RMB100,000.</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Consumer Protection</w:t>
      </w:r>
    </w:p>
    <w:p>
      <w:pPr>
        <w:spacing w:after="0" w:line="114"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To protect the legitimate rights and interests of consumers, to maintain social and economic order, and to promote the healthy development of the socialist market economy, the Standing Committee of the National People’s Congress promulgated the PRC Consumer Rights and Interests Protection Law (the “Consumer Protection Law”) in 1993 and latest amended in 2013. According to the Consumer Protection Law, business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320" w:top="452" w:right="5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1" w:lineRule="auto"/>
        <w:rPr>
          <w:sz w:val="20"/>
          <w:szCs w:val="20"/>
          <w:color w:val="auto"/>
        </w:rPr>
      </w:pPr>
      <w:r>
        <w:rPr>
          <w:rFonts w:ascii="Times New Roman" w:cs="Times New Roman" w:eastAsia="Times New Roman" w:hAnsi="Times New Roman"/>
          <w:sz w:val="18"/>
          <w:szCs w:val="18"/>
          <w:color w:val="auto"/>
        </w:rPr>
        <w:t>operators shall guarantee that the products and services they provide satisfy the requirements for personal or property safety, and provide consumers with authentic information about the quality, function, usage and term of validity of the products or services. The Consumer Protection Law also strengthens the protection of consumers and imposes more stringent requirements and obligations on business operators. For instance, business operators collecting and using personal information of consumers shall adhere to the principles of legitimacy, bona fide and necessity, state expressly the purpose, method and scope of collection and use of information, and shall obtain the consent of consumers. In addition, personal information of consumers collected by business operators and their staff shall not be divulged, sold or provided to others illegally. Business operators shall not send commercial information to consumers without their consent or request or when a consumer has explicitly rejected.</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Advertisement</w:t>
      </w:r>
    </w:p>
    <w:p>
      <w:pPr>
        <w:spacing w:after="0" w:line="114" w:lineRule="exact"/>
        <w:rPr>
          <w:sz w:val="20"/>
          <w:szCs w:val="20"/>
          <w:color w:val="auto"/>
        </w:rPr>
      </w:pPr>
    </w:p>
    <w:p>
      <w:pPr>
        <w:ind w:left="200" w:right="20" w:firstLine="434"/>
        <w:spacing w:after="0" w:line="249" w:lineRule="auto"/>
        <w:rPr>
          <w:sz w:val="20"/>
          <w:szCs w:val="20"/>
          <w:color w:val="auto"/>
        </w:rPr>
      </w:pPr>
      <w:r>
        <w:rPr>
          <w:rFonts w:ascii="Times New Roman" w:cs="Times New Roman" w:eastAsia="Times New Roman" w:hAnsi="Times New Roman"/>
          <w:sz w:val="18"/>
          <w:szCs w:val="18"/>
          <w:color w:val="auto"/>
        </w:rPr>
        <w:t>In 1994, the Standing Committee of the National People’s Congress promulgated the Advertising Law of the PRC in 1994 and latest amended in 2021 (the “Advertising Law”). The Advertising Law requires that advertisers, advertising operators, and advertisement publishers shall abide by the laws and administrative regulations, and by the principles of fairness and good faith while engaging in advertising activities. In addition, where a special government review is required for certain categories of advertisements before publishing, the advertisers, advertising operators and advertising distributors are obligated to confirm that such review has been duly performed and that the relevant approval has been obtained. If the advertisers, advertising operators and advertising distributors display any pop-up advertisement, they shall show the close button clearly to make sure that the viewers can close the advertisement upon one-click. Violations of these regulations may result in penalties, including fines, confiscation of advertising income, orders to cease dissemination of the advertisements and orders to publish an advertisement correcting the misleading information, and for serious violation, termination of advertising operations or revocation of business license. Furthermore, advertisers, advertising operators or advertising distributors may be subject to civil liabilities if they infringe on the legal rights and interests of third parties.</w:t>
      </w:r>
    </w:p>
    <w:p>
      <w:pPr>
        <w:spacing w:after="0" w:line="193" w:lineRule="exact"/>
        <w:rPr>
          <w:sz w:val="20"/>
          <w:szCs w:val="20"/>
          <w:color w:val="auto"/>
        </w:rPr>
      </w:pPr>
    </w:p>
    <w:p>
      <w:pPr>
        <w:ind w:left="200" w:right="80" w:firstLine="434"/>
        <w:spacing w:after="0" w:line="253" w:lineRule="auto"/>
        <w:rPr>
          <w:sz w:val="20"/>
          <w:szCs w:val="20"/>
          <w:color w:val="auto"/>
        </w:rPr>
      </w:pPr>
      <w:r>
        <w:rPr>
          <w:rFonts w:ascii="Times New Roman" w:cs="Times New Roman" w:eastAsia="Times New Roman" w:hAnsi="Times New Roman"/>
          <w:sz w:val="18"/>
          <w:szCs w:val="18"/>
          <w:color w:val="auto"/>
        </w:rPr>
        <w:t>The Interim Measures for Administration of Internet Advertising promulgated by the State Administration for Industry and Commerce of PRC (currently known as the SAMR) in 2016 (the “Internet Advertising Measures”) regulates any advertisement published on the Internet, including but not limited to, through websites, webpage and APPs, in the form of word, picture, audio and video and provides more detailed guidelines to the advertisers, advertising operators and advertising distributors. According to the Internet Advertising Measures, Internet advertisements shall be distinguishable and prominently marked with “advertisements”, in order to enable consumers to identify them as advertisements.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Financial Marketing Services</w:t>
      </w:r>
    </w:p>
    <w:p>
      <w:pPr>
        <w:spacing w:after="0" w:line="114"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On December 31, 2021, the People’s Bank of China with other six government authorities jointly issued the Measures for Administration of Internet Marketing of Financial Products (Draft for Comments), which regulate financial institutions or internet platform operators entrusted by such financial institutions carrying out internet marketing activities of financial products. Pursuant to this draft, institution and individual shall not provide internet marketing services for illegal financial activities such as illegal fundraising, and shall not provide internet marketing for private equity financial products to unspecified objects. The draft also prohibits third-party online platform operators from being involved in the sale of financial products or participating in the income sharing of financial business in a disguised way. As of the date of this prospectus, the Measures for Administration of Internet Marketing of Financial Products (Draft for Comments) has not been formally adopted.</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16" w:lineRule="exact"/>
        <w:rPr>
          <w:sz w:val="20"/>
          <w:szCs w:val="20"/>
          <w:color w:val="auto"/>
        </w:rPr>
      </w:pPr>
    </w:p>
    <w:p>
      <w:pPr>
        <w:ind w:left="200" w:right="840" w:firstLine="434"/>
        <w:spacing w:after="0" w:line="275" w:lineRule="auto"/>
        <w:rPr>
          <w:sz w:val="20"/>
          <w:szCs w:val="20"/>
          <w:color w:val="auto"/>
        </w:rPr>
      </w:pPr>
      <w:r>
        <w:rPr>
          <w:rFonts w:ascii="Times New Roman" w:cs="Times New Roman" w:eastAsia="Times New Roman" w:hAnsi="Times New Roman"/>
          <w:sz w:val="18"/>
          <w:szCs w:val="18"/>
          <w:color w:val="auto"/>
        </w:rPr>
        <w:t>China has enacted various laws and regulations relating to the protection of copyright. China is a signatory to some major international conventions on protection of copyright and became a member of the Berne</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40"/>
          </w:cols>
          <w:pgMar w:left="320" w:top="452" w:right="5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75" w:lineRule="auto"/>
        <w:rPr>
          <w:sz w:val="20"/>
          <w:szCs w:val="20"/>
          <w:color w:val="auto"/>
        </w:rPr>
      </w:pPr>
      <w:r>
        <w:rPr>
          <w:rFonts w:ascii="Times New Roman" w:cs="Times New Roman" w:eastAsia="Times New Roman" w:hAnsi="Times New Roman"/>
          <w:sz w:val="18"/>
          <w:szCs w:val="18"/>
          <w:color w:val="auto"/>
        </w:rPr>
        <w:t>Convention for the Protection of Literary and Artistic Works in October 1992, the Universal Copyright Convention in October 1992, and the Agreement on Trade-Related Aspects of Intellectual Property Rights upon its accession to the World Trade Organization in December 2001.</w:t>
      </w:r>
    </w:p>
    <w:p>
      <w:pPr>
        <w:spacing w:after="0" w:line="164" w:lineRule="exact"/>
        <w:rPr>
          <w:sz w:val="20"/>
          <w:szCs w:val="20"/>
          <w:color w:val="auto"/>
        </w:rPr>
      </w:pPr>
    </w:p>
    <w:p>
      <w:pPr>
        <w:ind w:left="200" w:right="140" w:firstLine="434"/>
        <w:spacing w:after="0" w:line="252" w:lineRule="auto"/>
        <w:rPr>
          <w:sz w:val="20"/>
          <w:szCs w:val="20"/>
          <w:color w:val="auto"/>
        </w:rPr>
      </w:pPr>
      <w:r>
        <w:rPr>
          <w:rFonts w:ascii="Times New Roman" w:cs="Times New Roman" w:eastAsia="Times New Roman" w:hAnsi="Times New Roman"/>
          <w:sz w:val="18"/>
          <w:szCs w:val="18"/>
          <w:color w:val="auto"/>
        </w:rPr>
        <w:t>According to the Copyright Law of the PRC, promulgated by the Standing Committee of the National People’s Congress, which was latest amended in November 2020, and its related Implementing Regulations, Chinese citizens, legal persons, or other organizations shall, whether published or not, own copyright in their works, which include, among others, works of literature, art, natural science, social science, engineering technology and computer software. Copyright owners of protected works enjoy personal rights and property rights with respect to publication, authorship, alteration, integrity, reproduction, distribution, lease, exhibition, performance, projection, broadcasting, dissemination via information network, production, adaptation, translation, compilation and other rights shall be enjoyed by the copyright owners.</w:t>
      </w:r>
    </w:p>
    <w:p>
      <w:pPr>
        <w:spacing w:after="0" w:line="185"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Pursuant to the Regulations on Protection of Information Network Transmission Right promulgated by the State Council in 2006, which was amended in 2013, in the event of infringement, such as providing any work, performance or audio-visual product of others to the public through the information network without authorization or permission, the infringer shall undertake civil liability to stop infringement, eliminate effect, apologize and compensate the damages etc.; where the infringement causes damage to public interest, the copyright administrative authorities may confiscate the illegal income and impose a fine; where the case constitutes a criminal offense, criminal liability shall be pursued in accordance with the law.</w:t>
      </w:r>
    </w:p>
    <w:p>
      <w:pPr>
        <w:spacing w:after="0" w:line="185"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Pursuant to the Regulation on Computers Software Protection and the Measures for the Registration of Computer Software Copyright, the National Copyright Administration is mainly responsible for the registration and management of software copyright in China and recognizes the China Copyright Protection Center as the software registration organization. The China Copyright Protection Center shall grant certificates of registration to computer software copyright applicants in compliance with the regulations of the Measures for the Registration of Computer Software Copyright and the Regulation on Computers Software Protection.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According to the Trademark Law of the PRC and the Implementation Regulation of the Trademark Law of the PRC, registered trademarks are granted a term of ten years which may be renewed for consecutive ten-year periods upon request by the trademark owner. Trademark license agreements must be filed with the Trademark Office for record, and the Trademark Law of the PRC has adopted a “first-to-file” principle with respect to trademark registration. Conducts that shall constitute an infringement of the exclusive right to use a registered trademark include but not limited to using a trademark that is identical with or similar to a registered trademark on the same or similar goods without the permission of the trademark registrant, and the infringing party will be ordered to stop the infringement act immediately and may be imposed a fine. The infringing party may also be held liable for the right holder’s damages, which will be equal to gains obtained by the infringing party or the losses suffered by the right holder as a result of the infringement, including reasonable expenses incurred by the right holder for stopping the infringement.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In accordance with the Patent Law of the PRC, promulgated by the Standing Committee of the National People’s Congress, which was latest amended in October 2020 and became effective on June 1, 2021, and its Implementation Rule, patent is divided in to 3 categories, i.e., invention patent, design patent and utility model patent. The duration of invention patent right, design patent right and utility model patent right shall be 20 years, 15 years and ten years, respectively, which all calculated from the date of application. Implementation of a patent without the authorization of the patent holder shall constitute an infringement of patent rights, and shall be held liable for compensation to the patent holder and may be imposed a fine, or even subject to criminal liabilities.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40"/>
          </w:cols>
          <w:pgMar w:left="320" w:top="452" w:right="5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16" w:lineRule="exact"/>
        <w:rPr>
          <w:sz w:val="20"/>
          <w:szCs w:val="20"/>
          <w:color w:val="auto"/>
        </w:rPr>
      </w:pPr>
    </w:p>
    <w:p>
      <w:pPr>
        <w:ind w:left="200" w:right="280" w:firstLine="434"/>
        <w:spacing w:after="0" w:line="261" w:lineRule="auto"/>
        <w:rPr>
          <w:sz w:val="20"/>
          <w:szCs w:val="20"/>
          <w:color w:val="auto"/>
        </w:rPr>
      </w:pPr>
      <w:r>
        <w:rPr>
          <w:rFonts w:ascii="Times New Roman" w:cs="Times New Roman" w:eastAsia="Times New Roman" w:hAnsi="Times New Roman"/>
          <w:sz w:val="18"/>
          <w:szCs w:val="18"/>
          <w:color w:val="auto"/>
        </w:rPr>
        <w:t>The Measures on Administration of Internet Domain Names was promulgated by the MIIT in 2017, which adopts “first to file” rule to allocate domain names to applicants, and provide that the MIIT shall supervise the domain names services nationwide and publicize the PRC domain name system. After completion of the registration procedures, the applicant will become the holder of the relevant domain name.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currency exchange</w:t>
      </w:r>
    </w:p>
    <w:p>
      <w:pPr>
        <w:spacing w:after="0" w:line="116"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of the PRC, most recently amended in August 2008. Under the PRC foreign exchange regulations, payments of current account items, such as profit distributions, interest payments and trade and service-related foreign exchange transactions, can be made in foreign currencies without prior approval from the SAFE, by complying with certain procedural requirements. By contrast, approval from or registration with appropriate government authorities is required where Renminbi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85" w:lineRule="exact"/>
        <w:rPr>
          <w:sz w:val="20"/>
          <w:szCs w:val="20"/>
          <w:color w:val="auto"/>
        </w:rPr>
      </w:pPr>
    </w:p>
    <w:p>
      <w:pPr>
        <w:jc w:val="both"/>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According to the Circular of SAFE on Further Improving and Adjusting the Foreign Exchange Policies on Direct Investment, promulgated in 2012 and latest amended in 2019, foreign exchange control measures related to foreign direct investment are improved, such as (1) the open of and payment into the foreign exchange account related to direct investment are no longer subject to approval by SAFE; (2) reinvestment with legal income of foreign investors in China is no longer subject to approval by SAFE; (3) purchase and external payment of foreign exchange related to foreign direct investment are no longer subject to approval by SAFE.</w:t>
      </w:r>
    </w:p>
    <w:p>
      <w:pPr>
        <w:spacing w:after="0" w:line="185" w:lineRule="exact"/>
        <w:rPr>
          <w:sz w:val="20"/>
          <w:szCs w:val="20"/>
          <w:color w:val="auto"/>
        </w:rPr>
      </w:pPr>
    </w:p>
    <w:p>
      <w:pPr>
        <w:ind w:left="200" w:right="80" w:firstLine="434"/>
        <w:spacing w:after="0" w:line="250" w:lineRule="auto"/>
        <w:rPr>
          <w:sz w:val="20"/>
          <w:szCs w:val="20"/>
          <w:color w:val="auto"/>
        </w:rPr>
      </w:pPr>
      <w:r>
        <w:rPr>
          <w:rFonts w:ascii="Times New Roman" w:cs="Times New Roman" w:eastAsia="Times New Roman" w:hAnsi="Times New Roman"/>
          <w:sz w:val="18"/>
          <w:szCs w:val="18"/>
          <w:color w:val="auto"/>
        </w:rPr>
        <w:t>The SAFE issued the Circular on Reforming of the Management Method of the Settlement of Foreign Currency Capital of Foreign-Invested Enterprises (the “SAFE Circular 19”) on March 30, 2015, and it became effective on June 1, 2015 and was partially repealed on December 30, 2019. The SAFE Circular 19 expands a pilot reform of the administration of the settlement of the foreign exchange capitals of foreign-invested enterprises nationwide. In June 2016, SAFE further promulgated the Notice of the State Administration of Foreign Exchange on Reforming and Standardizing the Foreign Exchange Settlement Management Policy of Capital Account (the “SAFE Circular 16”) which, among other things, amends certain provisions of SAFE Circular 19. Pursuant to the SAFE Circular 19 and SAFE Circular 16, the flow and use of the Renminbi capital converted from foreign currency denominated registered capital of a foreign-invested company is regulated such that Renminbi capital may not be used for business beyond its business scope or to provide loans to persons other than affiliates unless otherwise permitted under its business scope.</w:t>
      </w:r>
    </w:p>
    <w:p>
      <w:pPr>
        <w:spacing w:after="0" w:line="190"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In October 2019, SAFE issued the Circular of Further Facilitating Cross-border Trade and Investment (the “SAFE Circular 28”), which cancels the restrictions on domestic equity investments by capital fund of non-investment foreign invested enterprises and allows non-investment foreign invested enterprises to use their capital funds to lawfully make equity investments in China, provided that such investments do not violate the Negative List and the target investment projects are genuine and in compliance with laws. According to the Circular on Optimizing Administration of Foreign Exchange to Support the Development of Foreign-related Business (the “SAFE Circular 8”), issued by SAFE in April 2020, under the prerequisite of ensuring true and compliant use of funds and compliance with the prevailing administrative provisions on use of income under the capital account, eligible enterprises are allowed to make domestic payments by using their capital funds, foreign credits and the income under capital accounts of overseas listing, without prior provision of the evidentiary materials concerning authenticity to the bank for each transaction. The handling banks shall conduct spot checks afterwards in accordance with the relevant requirements. The interpretation and implementation in practice of the SAFE Circular 28 and SAFE Circular 8 are still subject to substantial uncertainties given they are newly issued regulations.</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0"/>
          </w:cols>
          <w:pgMar w:left="320" w:top="452" w:right="5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offshore investment</w:t>
      </w:r>
    </w:p>
    <w:p>
      <w:pPr>
        <w:spacing w:after="0" w:line="116" w:lineRule="exact"/>
        <w:rPr>
          <w:sz w:val="20"/>
          <w:szCs w:val="20"/>
          <w:color w:val="auto"/>
        </w:rPr>
      </w:pPr>
    </w:p>
    <w:p>
      <w:pPr>
        <w:ind w:left="200" w:right="80" w:firstLine="434"/>
        <w:spacing w:after="0" w:line="250" w:lineRule="auto"/>
        <w:rPr>
          <w:sz w:val="20"/>
          <w:szCs w:val="20"/>
          <w:color w:val="auto"/>
        </w:rPr>
      </w:pPr>
      <w:r>
        <w:rPr>
          <w:rFonts w:ascii="Times New Roman" w:cs="Times New Roman" w:eastAsia="Times New Roman" w:hAnsi="Times New Roman"/>
          <w:sz w:val="18"/>
          <w:szCs w:val="18"/>
          <w:color w:val="auto"/>
        </w:rPr>
        <w:t>In July 2014, the SAFE issued the SAFE Circular on Relevant Issues Relating to Domestic Resident’s Investment and Financing and Roundtrip Investment through Special Purpose Vehicles (the “SAFE Circular 37”). SAFE Circular 37 regulates foreign exchange matters in relation to the use of special purpose vehicles (the “SPV”), by PRC residents or entities to seek offshore investment and financing or conduct round trip investment in China. Under the SAFE Circular 37, a SPV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SPVs, namely, establishing foreign-invested enterprises to obtain the ownership, control rights and management rights. The SAFE Circular 37 provides that, before making contribution into an SPV, PRC residents or entities are required to complete foreign exchange registration with SAFE or its local branch.</w:t>
      </w:r>
    </w:p>
    <w:p>
      <w:pPr>
        <w:spacing w:after="0" w:line="190" w:lineRule="exact"/>
        <w:rPr>
          <w:sz w:val="20"/>
          <w:szCs w:val="20"/>
          <w:color w:val="auto"/>
        </w:rPr>
      </w:pPr>
    </w:p>
    <w:p>
      <w:pPr>
        <w:jc w:val="both"/>
        <w:ind w:left="200" w:right="340" w:firstLine="434"/>
        <w:spacing w:after="0" w:line="283" w:lineRule="auto"/>
        <w:rPr>
          <w:sz w:val="20"/>
          <w:szCs w:val="20"/>
          <w:color w:val="auto"/>
        </w:rPr>
      </w:pPr>
      <w:r>
        <w:rPr>
          <w:rFonts w:ascii="Times New Roman" w:cs="Times New Roman" w:eastAsia="Times New Roman" w:hAnsi="Times New Roman"/>
          <w:sz w:val="17"/>
          <w:szCs w:val="17"/>
          <w:color w:val="auto"/>
        </w:rPr>
        <w:t>According to the Circular on Further Simplifying and Improving the Foreign Currency Management Policy on Direct Investment (the “SAFE Circular 13”), promulgated by SAFE in 2015 and latest amended in December 2019, local banks, instead of SAFE, will examine and handle foreign exchange registration for overseas direct investment, including the initial foreign exchange registration and amendment registration.</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stock incentive plans</w:t>
      </w:r>
    </w:p>
    <w:p>
      <w:pPr>
        <w:spacing w:after="0" w:line="116"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Pursuant to the Notice on Issues Concerning the Foreign Exchange Administration for Domestic Individuals Participating in Stock Incentive Plan of Overseas Publicly Listed Company (the “SAFE Circular 7”), promulgated by SAFE in 2012, employees, directors, supervisors, and other senior management 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Moreover, an overseas-entrusted institution must be retained to handle matters in connection with the exercise or sale of stock options and the purchase or sale of shares and interests.</w:t>
      </w:r>
    </w:p>
    <w:p>
      <w:pPr>
        <w:spacing w:after="0" w:line="185"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color w:val="auto"/>
        </w:rPr>
        <w:t>In addition, the State Administration of Taxation (the “SAT”), has issued certain circulars concerning employee share options or restricted shares, under which the employees working in China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as required by relevant laws and regulations, the PRC subsidiaries may face sanctions imposed by the PRC tax authorities or other PRC government authorities.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Tax</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According to the Enterprise Income Tax Law of the PRC, which was promulgated by the National People’s Congress in 2007 and was latest amended in 2018 by the SCNPC, and the Implementation Regulations for the Enterprise Income Tax Law of the PRC, which was promulgated by the State Council and was latest amended in 2019, collectively referred to as the Enterprise Income Tax Law, a uniform 25% enterprise income tax rate is imposed to both foreign invested enterprises and domestic enterprises, except where tax incentives are granted to special industries and projects. Enterprise qualifying as “High and New Technology Enterprises” is entitled to a preferential 15% enterprise income tax rate, which will continue as long as such enterprise can retain its “High and New Technology Enterprise” status.</w:t>
      </w:r>
    </w:p>
    <w:p>
      <w:pPr>
        <w:spacing w:after="0" w:line="185" w:lineRule="exact"/>
        <w:rPr>
          <w:sz w:val="20"/>
          <w:szCs w:val="20"/>
          <w:color w:val="auto"/>
        </w:rPr>
      </w:pPr>
    </w:p>
    <w:p>
      <w:pPr>
        <w:ind w:left="200" w:right="60" w:firstLine="434"/>
        <w:spacing w:after="0" w:line="275" w:lineRule="auto"/>
        <w:rPr>
          <w:sz w:val="20"/>
          <w:szCs w:val="20"/>
          <w:color w:val="auto"/>
        </w:rPr>
      </w:pPr>
      <w:r>
        <w:rPr>
          <w:rFonts w:ascii="Times New Roman" w:cs="Times New Roman" w:eastAsia="Times New Roman" w:hAnsi="Times New Roman"/>
          <w:sz w:val="18"/>
          <w:szCs w:val="18"/>
          <w:color w:val="auto"/>
        </w:rPr>
        <w:t>Under the Enterprise Income Tax Law, an enterprise established outside China with “de facto management body” located in China is considered a “resident enterprise” for PRC enterprise income tax purposes and is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40"/>
          </w:cols>
          <w:pgMar w:left="320" w:top="452" w:right="5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generally subject to a uniform 25% enterprise income tax rate on its worldwide income, and a “de facto management body” is defined as a body that has material and overall management and control over the manufacturing and business operations, personnel and human resources, finances and properties of an enterprise. The Circular Regarding the Determination of Chinese-Controlled Offshore Incorporated Enterprises as PRC Tax Resident Enterprises on the Basis of De Facto Management Bodies promulgated by SAT and latest amended in 2017 provides certain specific criteria for determining whether the “de facto management body” of a PRC-controlled enterprise that is incorporated offshore is located in China.</w:t>
      </w:r>
    </w:p>
    <w:p>
      <w:pPr>
        <w:spacing w:after="0" w:line="185"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Pursuant to the Bulletin on Issues of Enterprise Income Tax on Indirect Transfers of Assets by Non-PRC Resident Enterprises (the “SAT Bulletin 7”), which was promulgated by SAT in 2015, if a non-resident enterprise indirectly transfers properties such as equity in PRC resident enterprises without any justifiable business purposes and aiming to avoid the payment of enterprise income tax, such indirect transfer must be reclassified as a direct transfer of properties in PRC resident enterprise. However, SAT Bulletin 7 has introduced safe harbors for internal group restructurings and the purchase and sale of equity securities through a public securities market. In addition, SAT issued the Announcement of the State Administration of Taxation on Issues Concerning the Withholding of Non-resident Enterprise Income Tax at Source (the “SAT Bulletin 37”) in 2017, which further clarifies the practice and procedure of the withholding of non-resident enterprise income tax.</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16" w:lineRule="exact"/>
        <w:rPr>
          <w:sz w:val="20"/>
          <w:szCs w:val="20"/>
          <w:color w:val="auto"/>
        </w:rPr>
      </w:pPr>
    </w:p>
    <w:p>
      <w:pPr>
        <w:ind w:left="200" w:right="40" w:firstLine="434"/>
        <w:spacing w:after="0" w:line="256" w:lineRule="auto"/>
        <w:rPr>
          <w:sz w:val="20"/>
          <w:szCs w:val="20"/>
          <w:color w:val="auto"/>
        </w:rPr>
      </w:pPr>
      <w:r>
        <w:rPr>
          <w:rFonts w:ascii="Times New Roman" w:cs="Times New Roman" w:eastAsia="Times New Roman" w:hAnsi="Times New Roman"/>
          <w:sz w:val="18"/>
          <w:szCs w:val="18"/>
          <w:color w:val="auto"/>
        </w:rPr>
        <w:t>Pursuant to the Provisional Regulations of the PRC on Value-added Tax, which was promulgated by the State Council and was latest amended in 2017, and the Implementation Rules for the Provisional Regulations the PRC on Value-added Tax, which was promulgated by the Ministry of Finance and was latest amended in 2011, entities and individuals engaging in selling goods, providing processing, repairing or replacement services or importing goods within the territory of the PRC are taxpayers of the value-added tax.</w:t>
      </w:r>
    </w:p>
    <w:p>
      <w:pPr>
        <w:spacing w:after="0" w:line="181" w:lineRule="exact"/>
        <w:rPr>
          <w:sz w:val="20"/>
          <w:szCs w:val="20"/>
          <w:color w:val="auto"/>
        </w:rPr>
      </w:pPr>
    </w:p>
    <w:p>
      <w:pPr>
        <w:ind w:left="200" w:right="320" w:firstLine="434"/>
        <w:spacing w:after="0" w:line="275" w:lineRule="auto"/>
        <w:rPr>
          <w:sz w:val="20"/>
          <w:szCs w:val="20"/>
          <w:color w:val="auto"/>
        </w:rPr>
      </w:pPr>
      <w:r>
        <w:rPr>
          <w:rFonts w:ascii="Times New Roman" w:cs="Times New Roman" w:eastAsia="Times New Roman" w:hAnsi="Times New Roman"/>
          <w:sz w:val="18"/>
          <w:szCs w:val="18"/>
          <w:color w:val="auto"/>
        </w:rPr>
        <w:t>According to the Notice of the Ministry of Finance and the State Taxation Administration on the Adjusting Value-added Tax Rates effective in May 2018, the value-added tax rates of 17% and 11% on sales, imported goods shall be adjusted to 16% and 10%, respectively.</w:t>
      </w:r>
    </w:p>
    <w:p>
      <w:pPr>
        <w:spacing w:after="0" w:line="164" w:lineRule="exact"/>
        <w:rPr>
          <w:sz w:val="20"/>
          <w:szCs w:val="20"/>
          <w:color w:val="auto"/>
        </w:rPr>
      </w:pPr>
    </w:p>
    <w:p>
      <w:pPr>
        <w:ind w:left="200" w:right="340" w:firstLine="434"/>
        <w:spacing w:after="0" w:line="261" w:lineRule="auto"/>
        <w:rPr>
          <w:sz w:val="20"/>
          <w:szCs w:val="20"/>
          <w:color w:val="auto"/>
        </w:rPr>
      </w:pPr>
      <w:r>
        <w:rPr>
          <w:rFonts w:ascii="Times New Roman" w:cs="Times New Roman" w:eastAsia="Times New Roman" w:hAnsi="Times New Roman"/>
          <w:sz w:val="18"/>
          <w:szCs w:val="18"/>
          <w:color w:val="auto"/>
        </w:rPr>
        <w:t>According to the Announcement of the Ministry of Finance, the State Taxation Administration and the General Administration of Customs on Relevant Policies for Deepening the Value-Added Tax Reform promulgated in March 2019, the value-added tax rates of 16% and 10% on sales, imported goods shall be adjusted to 13% and 9%, respectively.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114"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distributions by foreign-invested enterprises in the PRC are the PRC Company Law, promulgated in 1993 and latest amended in 2018, and the Foreign Investment Law and its Implementation Regulations.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87" w:lineRule="exact"/>
        <w:rPr>
          <w:sz w:val="20"/>
          <w:szCs w:val="20"/>
          <w:color w:val="auto"/>
        </w:rPr>
      </w:pPr>
    </w:p>
    <w:p>
      <w:pPr>
        <w:ind w:left="200" w:right="180" w:firstLine="434"/>
        <w:spacing w:after="0" w:line="256" w:lineRule="auto"/>
        <w:rPr>
          <w:sz w:val="20"/>
          <w:szCs w:val="20"/>
          <w:color w:val="auto"/>
        </w:rPr>
      </w:pPr>
      <w:r>
        <w:rPr>
          <w:rFonts w:ascii="Times New Roman" w:cs="Times New Roman" w:eastAsia="Times New Roman" w:hAnsi="Times New Roman"/>
          <w:sz w:val="18"/>
          <w:szCs w:val="18"/>
          <w:color w:val="auto"/>
        </w:rPr>
        <w:t>The Enterprise Income Tax Law and its implementation rules provide that since January 1, 2008, an enterprise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 unless any such non-PRC</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40"/>
          </w:cols>
          <w:pgMar w:left="320" w:top="452" w:right="5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resident investors’ jurisdiction of incorporation has a tax treaty with China that provides for a preferential withholding arrangement.</w:t>
      </w:r>
    </w:p>
    <w:p>
      <w:pPr>
        <w:spacing w:after="0" w:line="218"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Incomes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Notice of the State Administration of Taxation on Issues Relating to the Implementation of Dividend Clauses in Tax Treaties, issued by SAT in 2009, if the relevant PRC tax authorities determine, in their discretion, that a company benefits from such reduced income tax rate due to a structure or arrangement that is primarily tax-driven, such PRC tax authorities may adjust the preferential tax treatment. According to the Announcement of the State Administration of Taxation on Issues Relating to “Beneficial Owner” in Tax Treaties issued by SAT in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Employment and Social Welfare</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w:t>
      </w:r>
    </w:p>
    <w:p>
      <w:pPr>
        <w:spacing w:after="0" w:line="116" w:lineRule="exact"/>
        <w:rPr>
          <w:sz w:val="20"/>
          <w:szCs w:val="20"/>
          <w:color w:val="auto"/>
        </w:rPr>
      </w:pPr>
    </w:p>
    <w:p>
      <w:pPr>
        <w:ind w:left="200" w:right="740" w:firstLine="434"/>
        <w:spacing w:after="0" w:line="261" w:lineRule="auto"/>
        <w:rPr>
          <w:sz w:val="20"/>
          <w:szCs w:val="20"/>
          <w:color w:val="auto"/>
        </w:rPr>
      </w:pPr>
      <w:r>
        <w:rPr>
          <w:rFonts w:ascii="Times New Roman" w:cs="Times New Roman" w:eastAsia="Times New Roman" w:hAnsi="Times New Roman"/>
          <w:sz w:val="18"/>
          <w:szCs w:val="18"/>
          <w:color w:val="auto"/>
        </w:rPr>
        <w:t>The major PRC laws and regulations that govern employment relationship are the PRC Labor Law, the Labor Contract Law and its implementation, which impose stringent requirements on the employers in relation to entering into fixed-term employment contracts, hiring of temporary employees and dismissal of employees.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social insurance and housing fund</w:t>
      </w:r>
    </w:p>
    <w:p>
      <w:pPr>
        <w:spacing w:after="0" w:line="116"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The PRC Social Insurance Law issued by the Standing Committee of the National People’s Congress in 2010 and latest amended in 2018, has established social insurance systems of basic pension insurance, basic medical insurance, work-related injury insurance, unemployment insurance and maternity insurance and has elaborated in detail the legal obligations and liabilities of employers who fail to comply with relevant laws and regulations on social insurance. For instance, an enterprise shall pay or withhold relevant social insurance for or on behalf of its employees, failure to make sufficient contributions to the social insurance will result in late fees and fines.</w:t>
      </w:r>
    </w:p>
    <w:p>
      <w:pPr>
        <w:spacing w:after="0" w:line="185" w:lineRule="exact"/>
        <w:rPr>
          <w:sz w:val="20"/>
          <w:szCs w:val="20"/>
          <w:color w:val="auto"/>
        </w:rPr>
      </w:pPr>
    </w:p>
    <w:p>
      <w:pPr>
        <w:ind w:left="200" w:right="320" w:firstLine="434"/>
        <w:spacing w:after="0" w:line="283" w:lineRule="auto"/>
        <w:rPr>
          <w:sz w:val="20"/>
          <w:szCs w:val="20"/>
          <w:color w:val="auto"/>
        </w:rPr>
      </w:pPr>
      <w:r>
        <w:rPr>
          <w:rFonts w:ascii="Times New Roman" w:cs="Times New Roman" w:eastAsia="Times New Roman" w:hAnsi="Times New Roman"/>
          <w:sz w:val="17"/>
          <w:szCs w:val="17"/>
          <w:color w:val="auto"/>
        </w:rPr>
        <w:t>The Administrative Measures on Housing Funds issued by the State Council in 1999 and latest amended in 2019 provides that enterprise must register with the competent managing center for housing funds and shall contribute to the housing fund for its employees, failure to timely pay and deposit housing fund contributions in full amount will be ordered to complete the relevant procedures within a prescribed time limit or be fined.</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Anti-monopoly</w:t>
      </w:r>
    </w:p>
    <w:p>
      <w:pPr>
        <w:spacing w:after="0" w:line="114" w:lineRule="exact"/>
        <w:rPr>
          <w:sz w:val="20"/>
          <w:szCs w:val="20"/>
          <w:color w:val="auto"/>
        </w:rPr>
      </w:pPr>
    </w:p>
    <w:p>
      <w:pPr>
        <w:ind w:left="200" w:right="40" w:firstLine="434"/>
        <w:spacing w:after="0" w:line="270" w:lineRule="auto"/>
        <w:rPr>
          <w:sz w:val="20"/>
          <w:szCs w:val="20"/>
          <w:color w:val="auto"/>
        </w:rPr>
      </w:pPr>
      <w:r>
        <w:rPr>
          <w:rFonts w:ascii="Times New Roman" w:cs="Times New Roman" w:eastAsia="Times New Roman" w:hAnsi="Times New Roman"/>
          <w:sz w:val="17"/>
          <w:szCs w:val="17"/>
          <w:color w:val="auto"/>
        </w:rPr>
        <w:t>According to the Anti-Monopoly Law of the PRC and other relevant regulations, where a concentration reaches one of the following thresholds, a declaration must be lodged in advance with the anti-monopoly law enforcement agency under the State Council, or otherwise the concentration shall not be implemented (1) during the previous fiscal year, the total global turnover of all operators participating in the transaction exceeded RMB10 billion, and at least two of these operators each had a turnover of more than RMB400 million within China; or (2) during the previous fiscal year, the total turnover within China of all operators participating in the transaction exceeded RMB2 billion, and at least two of these operators each had a turnover of more than RMB400 million within China. “Concentration of undertakings” means any of the following (1) a merger of</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40"/>
          </w:cols>
          <w:pgMar w:left="320" w:top="452" w:right="5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580"/>
        <w:spacing w:after="0" w:line="275" w:lineRule="auto"/>
        <w:rPr>
          <w:sz w:val="20"/>
          <w:szCs w:val="20"/>
          <w:color w:val="auto"/>
        </w:rPr>
      </w:pPr>
      <w:r>
        <w:rPr>
          <w:rFonts w:ascii="Times New Roman" w:cs="Times New Roman" w:eastAsia="Times New Roman" w:hAnsi="Times New Roman"/>
          <w:sz w:val="18"/>
          <w:szCs w:val="18"/>
          <w:color w:val="auto"/>
        </w:rPr>
        <w:t>undertakings; (2) acquiring control over other undertakings by acquiring equities or assets; or (3) acquisition of control over, or the possibility of exercising decisive influence on, an undertaking by contract or by any other means.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Regulations on M&amp;A and Overseas Listings</w:t>
      </w:r>
    </w:p>
    <w:p>
      <w:pPr>
        <w:spacing w:after="0" w:line="114" w:lineRule="exact"/>
        <w:rPr>
          <w:sz w:val="20"/>
          <w:szCs w:val="20"/>
          <w:color w:val="auto"/>
        </w:rPr>
      </w:pPr>
    </w:p>
    <w:p>
      <w:pPr>
        <w:ind w:left="200" w:right="20" w:firstLine="434"/>
        <w:spacing w:after="0" w:line="251" w:lineRule="auto"/>
        <w:rPr>
          <w:sz w:val="20"/>
          <w:szCs w:val="20"/>
          <w:color w:val="auto"/>
        </w:rPr>
      </w:pPr>
      <w:r>
        <w:rPr>
          <w:rFonts w:ascii="Times New Roman" w:cs="Times New Roman" w:eastAsia="Times New Roman" w:hAnsi="Times New Roman"/>
          <w:sz w:val="18"/>
          <w:szCs w:val="18"/>
          <w:color w:val="auto"/>
        </w:rPr>
        <w:t>MOFCOM, the CSRC, SAFE and other three other PRC governmental and regulatory agencies jointly promulgated the Provisions on Merger and Acquisition of Domestic Enterprises by Foreign Investors (the “M&amp;A Rules”), which became effective in 2006 and was latest amended in 2009. The M&amp;A Rules, among other things, requires that if an overseas company established or controlled by PRC companies or individuals (the “PRC Citizens”), intends to acquire interests or assets of any other PRC domestic company affiliated with the PRC Citizens, such acquisition must be submitted to MOFCOM for approval. The M&amp;A Rules also requires that offshore special purpose vehicles formed for overseas listing purposes through acquisitions of PRC domestic companies and controlled by PRC companies or individuals, to obtain the approval of the CSRC prior to the listing and trading of such special purpose vehicles’ securities on an overseas stock exchange.</w:t>
      </w:r>
    </w:p>
    <w:p>
      <w:pPr>
        <w:spacing w:after="0" w:line="187" w:lineRule="exact"/>
        <w:rPr>
          <w:sz w:val="20"/>
          <w:szCs w:val="20"/>
          <w:color w:val="auto"/>
        </w:rPr>
      </w:pPr>
    </w:p>
    <w:p>
      <w:pPr>
        <w:ind w:left="200" w:right="60" w:firstLine="434"/>
        <w:spacing w:after="0" w:line="248" w:lineRule="auto"/>
        <w:rPr>
          <w:sz w:val="20"/>
          <w:szCs w:val="20"/>
          <w:color w:val="auto"/>
        </w:rPr>
      </w:pPr>
      <w:r>
        <w:rPr>
          <w:rFonts w:ascii="Times New Roman" w:cs="Times New Roman" w:eastAsia="Times New Roman" w:hAnsi="Times New Roman"/>
          <w:sz w:val="18"/>
          <w:szCs w:val="18"/>
          <w:color w:val="auto"/>
        </w:rPr>
        <w:t>The M&amp;A Rules also establish procedures and requirements that could make some acquisitions of PRC companies by foreign investors more time-consuming and complex, including requirements in some instances that MOFCOM be notified in advance of any change-of-control transaction in which a foreign investor takes control of a PRC domestic enterprise. In addition, the Rules on Implementation of Security Review System for the Merger and Acquisition of Domestic Enterprises by Foreign Investors issued by MOFCOM in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activities attempting to bypass such security review, including by structuring the transaction through a proxy or contractual control arrangement. On December 19, 2020, the NDRC and MOFCOM jointly promulgated the Measures for the Security Review of Foreign Investment to forth provisions concerning the security review mechanism on foreign investment, including the types of investments subject to review, review scopes and procedures, among others. According to the Measures for the Security Review of Foreign Investment,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 authorities in advance.</w:t>
      </w:r>
    </w:p>
    <w:p>
      <w:pPr>
        <w:spacing w:after="0" w:line="197"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On July 6, 2021, General Office of the State Council and General Office of the CPC Central Committee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 based overseas-listed companies.</w:t>
      </w:r>
    </w:p>
    <w:p>
      <w:pPr>
        <w:spacing w:after="0" w:line="181" w:lineRule="exact"/>
        <w:rPr>
          <w:sz w:val="20"/>
          <w:szCs w:val="20"/>
          <w:color w:val="auto"/>
        </w:rPr>
      </w:pPr>
    </w:p>
    <w:p>
      <w:pPr>
        <w:jc w:val="both"/>
        <w:ind w:left="200" w:right="60" w:firstLine="434"/>
        <w:spacing w:after="0" w:line="283" w:lineRule="auto"/>
        <w:rPr>
          <w:sz w:val="20"/>
          <w:szCs w:val="20"/>
          <w:color w:val="auto"/>
        </w:rPr>
      </w:pPr>
      <w:r>
        <w:rPr>
          <w:rFonts w:ascii="Times New Roman" w:cs="Times New Roman" w:eastAsia="Times New Roman" w:hAnsi="Times New Roman"/>
          <w:sz w:val="17"/>
          <w:szCs w:val="17"/>
          <w:color w:val="auto"/>
        </w:rPr>
        <w:t>On December 24, 2021, the CSRC released the Provisions of the State Council on the Administration of Overseas Securities Offering and Listing by Domestic Companies (Draft for Comments) and the Administrative Measures for the Filing of Overseas Securities Offering and Listing by Domestic Companies (Draft for Comments) (the “Draft Rules Regarding Overseas Listing”), the deadline for public comments of which was January 23, 2022.</w:t>
      </w:r>
    </w:p>
    <w:p>
      <w:pPr>
        <w:spacing w:after="0" w:line="159" w:lineRule="exact"/>
        <w:rPr>
          <w:sz w:val="20"/>
          <w:szCs w:val="20"/>
          <w:color w:val="auto"/>
        </w:rPr>
      </w:pPr>
    </w:p>
    <w:p>
      <w:pPr>
        <w:ind w:left="200" w:firstLine="434"/>
        <w:spacing w:after="0" w:line="283" w:lineRule="auto"/>
        <w:rPr>
          <w:sz w:val="20"/>
          <w:szCs w:val="20"/>
          <w:color w:val="auto"/>
        </w:rPr>
      </w:pPr>
      <w:r>
        <w:rPr>
          <w:rFonts w:ascii="Times New Roman" w:cs="Times New Roman" w:eastAsia="Times New Roman" w:hAnsi="Times New Roman"/>
          <w:sz w:val="17"/>
          <w:szCs w:val="17"/>
          <w:color w:val="auto"/>
        </w:rPr>
        <w:t>These provisions shall apply to domestic enterprises that issue shares, depository receipts, convertible corporate bonds, or other equity instruments overseas, or list and trade their securities overseas, and the CSRC shall supervise and administer the overseas securities offering and listing activities of domestic enterprises, and such domestic enterprises shall go through the filing procedures with the CSRC and report relevant information.</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40"/>
          </w:cols>
          <w:pgMar w:left="320" w:top="452" w:right="5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According to the Draft Rules Regarding Overseas Listing, domestic enterprises offering and listing overseas will need to comply with continuous filing and reporting requirements after its filing, including (1) a reporting obligation in respect of any material event which arose prior to such offering and listing; (2) filing for follow-on offerings after the initial offering and listing; (3) filing for transactions in which the issuer issues securities for acquiring assets; and (4) a reporting obligation for material events after the initial offering and listing. Meanwhile, overseas securities offerings and listings by China-based companies are explicitly forbidden under the Draft Rules Regarding Overseas Listing if (1) there exists any circumstance where going public is strictly prohibited as prescribed by specific laws and regulations; (2) the overseas securities offerings and listings constitute a threat or endangerment to national security; (3) there exist material ownership disputes; (4) any of the PRC domestic enterprises, their controlling shareholder or actual controller is involved in certain criminal offense; (5) any of the directors, supervisors and senior management of the issuer is involved in certain criminal offense or administrative penalties, among other circumstances identified by the State Council.</w:t>
      </w:r>
    </w:p>
    <w:p>
      <w:pPr>
        <w:spacing w:after="0" w:line="187" w:lineRule="exact"/>
        <w:rPr>
          <w:sz w:val="20"/>
          <w:szCs w:val="20"/>
          <w:color w:val="auto"/>
        </w:rPr>
      </w:pPr>
    </w:p>
    <w:p>
      <w:pPr>
        <w:ind w:left="200" w:right="240" w:firstLine="434"/>
        <w:spacing w:after="0" w:line="251" w:lineRule="auto"/>
        <w:rPr>
          <w:sz w:val="20"/>
          <w:szCs w:val="20"/>
          <w:color w:val="auto"/>
        </w:rPr>
      </w:pPr>
      <w:r>
        <w:rPr>
          <w:rFonts w:ascii="Times New Roman" w:cs="Times New Roman" w:eastAsia="Times New Roman" w:hAnsi="Times New Roman"/>
          <w:sz w:val="18"/>
          <w:szCs w:val="18"/>
          <w:color w:val="auto"/>
        </w:rPr>
        <w:t>If domestic enterprises fail to fulfill the above-mentioned filing procedures or offer and list in an overseas market against the prohibited circumstances, they would be warned and fined up to RMB10 million and even be ordered to suspend relevant business or halt operation for rectification, revoke relevant business permits or operational license in severe cases. If, during the filing process, the domestic enterprises conceal important factors or the content is materially false, and securities are not issued, they are subject to a fine of RMB1 million to RMB10 million. If the securities have been issued, the domestic enterprise is subject to a fine of 10% to 100% of the listing proceeds. With respect to the controlling shareholder, actual controllers, directors, supervisors, and senior management, they are subject to a warning and fines between RMB500,000 to RMB5 million, individually or collectively.</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80"/>
          </w:cols>
          <w:pgMar w:left="320" w:top="452" w:right="5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1"/>
        </w:trPr>
        <w:tc>
          <w:tcPr>
            <w:tcW w:w="1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Peng Li</w:t>
            </w:r>
          </w:p>
        </w:tc>
        <w:tc>
          <w:tcPr>
            <w:tcW w:w="2000" w:type="dxa"/>
            <w:vAlign w:val="bottom"/>
          </w:tcPr>
          <w:p>
            <w:pPr>
              <w:spacing w:after="0"/>
              <w:rPr>
                <w:sz w:val="15"/>
                <w:szCs w:val="15"/>
                <w:color w:val="auto"/>
              </w:rPr>
            </w:pPr>
          </w:p>
        </w:tc>
        <w:tc>
          <w:tcPr>
            <w:tcW w:w="2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5"/>
                <w:szCs w:val="15"/>
                <w:color w:val="auto"/>
              </w:rPr>
            </w:pPr>
          </w:p>
        </w:tc>
        <w:tc>
          <w:tcPr>
            <w:tcW w:w="63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Jinshan Li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Frank Lin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Dong Xie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Xihao Liu</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 and vice president</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Pei Hua (Helen) Wong</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Hongqiang Zhao</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Chun Wang</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Guangfei Zhao</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Bo Bai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2" w:lineRule="exact"/>
        <w:rPr>
          <w:sz w:val="20"/>
          <w:szCs w:val="20"/>
          <w:color w:val="auto"/>
        </w:rPr>
      </w:pPr>
    </w:p>
    <w:p>
      <w:pPr>
        <w:ind w:left="200" w:right="40" w:firstLine="434"/>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Peng Li </w:t>
      </w:r>
      <w:r>
        <w:rPr>
          <w:rFonts w:ascii="Times New Roman" w:cs="Times New Roman" w:eastAsia="Times New Roman" w:hAnsi="Times New Roman"/>
          <w:sz w:val="17"/>
          <w:szCs w:val="17"/>
          <w:color w:val="auto"/>
        </w:rPr>
        <w:t>is our founder and has served as the chairman of our board of directors and our chief executive officer since our inception.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founding our company, Mr. Li had been the founder and served as the chief executive officer of Beijing Renjuren Network Technology Co., Ltd. from October 2013 to September 2015. Mr. Li was the co-founder and served as the vice president of Qianpin Online Network Technology (Beijing) Co., Ltd. from March 2011 to June 2013. Mr. Li served as the head of commercial operation center of Beijing UCWEB Internet Technology Co., Ltd. from March 2010 to February 2011. Prior to that, he was the strategic cooperation manager of Baidu.com, Inc. (Nasdaq: BIDU; HKEX:9888) from September 2005 to February 2010. From September 2004 to August 2005, Mr. Li served as the marketing manager of Beijing Jingyeda Technology Co., Ltd. (SZSE: 003005) in East China. Mr. Li received his bachelor’s degree in computer science and technology from Hebei Agricultural University in June 2004.</w:t>
      </w:r>
    </w:p>
    <w:p>
      <w:pPr>
        <w:spacing w:after="0" w:line="168" w:lineRule="exact"/>
        <w:rPr>
          <w:sz w:val="20"/>
          <w:szCs w:val="20"/>
          <w:color w:val="auto"/>
        </w:rPr>
      </w:pPr>
    </w:p>
    <w:p>
      <w:pPr>
        <w:ind w:left="200" w:right="8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Jinshan Li </w:t>
      </w:r>
      <w:r>
        <w:rPr>
          <w:rFonts w:ascii="Times New Roman" w:cs="Times New Roman" w:eastAsia="Times New Roman" w:hAnsi="Times New Roman"/>
          <w:sz w:val="18"/>
          <w:szCs w:val="18"/>
          <w:color w:val="auto"/>
        </w:rPr>
        <w:t>has served as our director since May 2022 and our chief technology officer since April 2018. Prior to joining us, Mr. Li had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technology officer of Ailv Network Technology Co., Ltd. from March 2016 to November 2016. From March 2014 to March 2016, Mr. Li served as the general manager of carpooling business of Beijing Five Car World Technology Co., Ltd. Prior to that, he worked at Renren Inc. (NYSE: RENN) from May 2011 to March 2014, serving as a senior manager and technology officer. Mr. Li served as the product manager at the advertising department of Youdao Inc. (NYSE: DAO) from July 2007 to May 2011. Mr. Li received his bachelor’s degree in computer science and technology from Beijing Information Technology Institute in July 2004, and his master’s degree in computer application from Institute of Computing Technology, Chinese Academy of Sciences in July 2007.</w:t>
      </w:r>
    </w:p>
    <w:p>
      <w:pPr>
        <w:spacing w:after="0" w:line="187"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Frank Lin </w:t>
      </w:r>
      <w:r>
        <w:rPr>
          <w:rFonts w:ascii="Times New Roman" w:cs="Times New Roman" w:eastAsia="Times New Roman" w:hAnsi="Times New Roman"/>
          <w:sz w:val="18"/>
          <w:szCs w:val="18"/>
          <w:color w:val="auto"/>
        </w:rPr>
        <w:t>has served as our director since May 2022. Mr. Lin is a general partner of DCM, a technology venture capital firm and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shareholders. Prior to joining DCM in 2006, Mr. Lin had been the chief operating officer of SINA Corporation (Nasdaq: SINA). He co-founded SINA’s predecessor, SinaNet, in 1995 and later helped guiding SINA through its listing on Nasdaq. Prior to founding SinaNet, Mr. Lin had been a consultant at Ernst &amp; Young Management Consulting Group. Mr. Lin currently serves on the board of directors of numerous DCM portfolio companies, including GigaCloud Technology Inc (Nasdaq: GCT), Tuniu Corporation (Nasdaq: TOUR), Vipshop Holdings Limited (NYSE: VIPS), China Online Education Group (NYSE: COE) and Kuaishou Technology (HKEX: 1024). Mr. Lin received his MBA degree from Stanford University in 1993 and his bachelor’s degree in engineering from Dartmouth College in 1988.</w:t>
      </w:r>
    </w:p>
    <w:p>
      <w:pPr>
        <w:spacing w:after="0" w:line="187" w:lineRule="exact"/>
        <w:rPr>
          <w:sz w:val="20"/>
          <w:szCs w:val="20"/>
          <w:color w:val="auto"/>
        </w:rPr>
      </w:pPr>
    </w:p>
    <w:p>
      <w:pPr>
        <w:ind w:left="200" w:right="14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Dong Xie </w:t>
      </w:r>
      <w:r>
        <w:rPr>
          <w:rFonts w:ascii="Times New Roman" w:cs="Times New Roman" w:eastAsia="Times New Roman" w:hAnsi="Times New Roman"/>
          <w:sz w:val="18"/>
          <w:szCs w:val="18"/>
          <w:color w:val="auto"/>
        </w:rPr>
        <w:t>has served as our chief financial officer since January 2021 and as our director since June 2022. Prior to joining us, Mr. Xie had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partner of capital market services at PGadvisory from March 2020</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60"/>
          </w:cols>
          <w:pgMar w:left="320" w:top="452" w:right="5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0" w:lineRule="auto"/>
        <w:rPr>
          <w:sz w:val="20"/>
          <w:szCs w:val="20"/>
          <w:color w:val="auto"/>
        </w:rPr>
      </w:pPr>
      <w:r>
        <w:rPr>
          <w:rFonts w:ascii="Times New Roman" w:cs="Times New Roman" w:eastAsia="Times New Roman" w:hAnsi="Times New Roman"/>
          <w:sz w:val="18"/>
          <w:szCs w:val="18"/>
          <w:color w:val="auto"/>
        </w:rPr>
        <w:t>to December 2020. From January 2019 to March 2020, Mr. Xie served as the chief financial officer at Renmai Technology Group. From September 2014 to December 2018, Mr. Xie served as the chief financial officer and company secretary of Finup Financial Technology Group (Holdings) Co., Ltd. From April 2010 to September 2010, Mr. Xie served as a vice president at CCB International (China) Co., Ltd. From November 2007 to March 2010, and from October 2010 to August 2014, Mr. Xie served as the associate director at the merger and acquisition transaction service department of Deloitte China. Mr. Xie is a Chinese Certified Public Accountant, Certified Internal Auditor, Certified Tax Agent and holds the China Legal Professional Qualification. He received his bachelor’s degree in economics and master’s degree in global economics from Nankai University in June 2003 and June 2006, respectively, and he started in September 2021 for the EMBA degree jointly offered by Guanghua School of Management of Peking University and Kellogg School of Management of Northwestern University. He has been acting as an independent director and chairman of the audit committee for China BlueChemical Ltd (HKEX:3983) since May 2021.</w:t>
      </w:r>
    </w:p>
    <w:p>
      <w:pPr>
        <w:spacing w:after="0" w:line="185" w:lineRule="exact"/>
        <w:rPr>
          <w:sz w:val="20"/>
          <w:szCs w:val="20"/>
          <w:color w:val="auto"/>
        </w:rPr>
      </w:pPr>
    </w:p>
    <w:p>
      <w:pPr>
        <w:ind w:left="200" w:right="14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Xihao Liu </w:t>
      </w:r>
      <w:r>
        <w:rPr>
          <w:rFonts w:ascii="Times New Roman" w:cs="Times New Roman" w:eastAsia="Times New Roman" w:hAnsi="Times New Roman"/>
          <w:sz w:val="18"/>
          <w:szCs w:val="18"/>
          <w:color w:val="auto"/>
        </w:rPr>
        <w:t>has served as our vice president since April 2020 and as our director since September 2022. Prior to joining us, Ms. Liu had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vice president of operations of Beijing Qimeng Education Technology Co., Ltd. from November 2018 to December 2019. From June 2018 to September 2018, Ms. Liu served as the head of community operations at Beijing Guoganshidai Co., Ltd. Prior to that, she was a senior operations specialist of Hangzhou Beigou Technology Co., Ltd. from September 2015 to June 2018. From February 2011 to November 2015, Ms. Liu served several positions relating to product operations at Alibaba Group Holding Limited (NYSE: BABA; HKEX: 9988) and its related entities. Ms. Liu received her bachelor’s degree in management from Shaanxi University of Science &amp; Technology in July 2006, and her master’s degree in economics from Xiamen University in July 2009.</w:t>
      </w:r>
    </w:p>
    <w:p>
      <w:pPr>
        <w:spacing w:after="0" w:line="187"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Pei Hua (Helen) Wong </w:t>
      </w:r>
      <w:r>
        <w:rPr>
          <w:rFonts w:ascii="Times New Roman" w:cs="Times New Roman" w:eastAsia="Times New Roman" w:hAnsi="Times New Roman"/>
          <w:sz w:val="18"/>
          <w:szCs w:val="18"/>
          <w:color w:val="auto"/>
        </w:rPr>
        <w:t>has served as our independent director since January 2023. Ms. Wong is currently the Managing Partner of AC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early-stage venture capital firm in Singapore. Before that, she had worked as a Partner in Qiming Ventures from 2014 to 2021, focusing on the TMT sector. Ms. Wong was a founding team member of GGV Capital. She was at GGV Capital from 2001 to 2011. She was ranked by Forbes as one of the top 100 venture capitalists in China in 2018, the top 25 Chinese women venture capitalists from 2017 to 2021, and iResearch as the top 26 Chinese consumer venture capitalists in 2021. Ms. Wong has more than 20 years of experience in the venture capital industry. Some of her successful unicorn exits include Mobike (acquired by Meituan (HKEX:3690), DeDao (audio platform) and Tudou (video sharing). She also led the investment in Akulaku, a fintech unicorn in Southeast Asia. Ms. Wong received her bachelor’s and master’s degrees in Politics, Philosophy and Economics from Oxford University. She also received an MBA from INSEAD in 1999, and an EMBA degree from Cheung Kong GSB in 2010.</w:t>
      </w:r>
    </w:p>
    <w:p>
      <w:pPr>
        <w:spacing w:after="0" w:line="183"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Hongqiang Zhao </w:t>
      </w:r>
      <w:r>
        <w:rPr>
          <w:rFonts w:ascii="Times New Roman" w:cs="Times New Roman" w:eastAsia="Times New Roman" w:hAnsi="Times New Roman"/>
          <w:sz w:val="18"/>
          <w:szCs w:val="18"/>
          <w:color w:val="auto"/>
        </w:rPr>
        <w:t>has served as our independent director since January 2023. Since June 2018, Mr. Zhao has served as an executive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Bairong Inc. (HKEX: 6608). He has also served as an independent director of Li Auto, Inc. (Nasdaq: LI; HKEX: 2015) since July 2020, GOGOX Holdings Limited (HKEX: 2246) since June 2022, and HUYA Inc. (NYSE: HUYA) since May 2018, respectively. From October 2014 to October 2015, he served as the chief financial officer of NetEase Lede Technology Co., Ltd Beijing Branch. From December 2012 to December 2015, he served as a vice president of finance at SouFun Holdings Limited (now known as Fang Holdings Limited). He served as an assistant Chief Auditor at the Public Company Accounting Oversight Board in 2009. From August 2001 to February 2009, he worked at KPMG LLP in the United States, with the most recent position being manager audit. Mr. Zhao received a bachelor’s degree in accounting from Tsinghua University in 1999 and a master’s degree in accountancy from The George Washington University in 2001.</w:t>
      </w:r>
    </w:p>
    <w:p>
      <w:pPr>
        <w:spacing w:after="0" w:line="183" w:lineRule="exact"/>
        <w:rPr>
          <w:sz w:val="20"/>
          <w:szCs w:val="20"/>
          <w:color w:val="auto"/>
        </w:rPr>
      </w:pPr>
    </w:p>
    <w:p>
      <w:pPr>
        <w:ind w:left="200" w:right="2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Chun Wang </w:t>
      </w:r>
      <w:r>
        <w:rPr>
          <w:rFonts w:ascii="Times New Roman" w:cs="Times New Roman" w:eastAsia="Times New Roman" w:hAnsi="Times New Roman"/>
          <w:sz w:val="18"/>
          <w:szCs w:val="18"/>
          <w:color w:val="auto"/>
        </w:rPr>
        <w:t>has served as our vice president since March 2020. Prior to joining us, Mr. Wang served as the vice president at the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Xiaochuanchuhai Education Technology (Beijing) Co., Ltd. from August 2018 to November 2019. From August 2014 to August 2018, Mr. Wang served as a partner of Beijing Guogan Technology Co., Ltd., responsible for product, growth and content center and business innovations. Prior to that, he was a mobile product manager of Jumei International Holding Limited (NYSE: JMEI (delisted)) from</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320" w:top="452" w:right="5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60"/>
        <w:spacing w:after="0" w:line="275" w:lineRule="auto"/>
        <w:rPr>
          <w:sz w:val="20"/>
          <w:szCs w:val="20"/>
          <w:color w:val="auto"/>
        </w:rPr>
      </w:pPr>
      <w:r>
        <w:rPr>
          <w:rFonts w:ascii="Times New Roman" w:cs="Times New Roman" w:eastAsia="Times New Roman" w:hAnsi="Times New Roman"/>
          <w:sz w:val="18"/>
          <w:szCs w:val="18"/>
          <w:color w:val="auto"/>
        </w:rPr>
        <w:t>January 2014 to August 2014. Mr. Wang served successively as product manager and marketing head of Wuxi Mmb.cn Information Technology Co., Ltd. from July 2010 to January 2014.</w:t>
      </w:r>
    </w:p>
    <w:p>
      <w:pPr>
        <w:spacing w:after="0" w:line="162" w:lineRule="exact"/>
        <w:rPr>
          <w:sz w:val="20"/>
          <w:szCs w:val="20"/>
          <w:color w:val="auto"/>
        </w:rPr>
      </w:pPr>
    </w:p>
    <w:p>
      <w:pPr>
        <w:ind w:left="200" w:right="12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Guangfei Zhao </w:t>
      </w:r>
      <w:r>
        <w:rPr>
          <w:rFonts w:ascii="Times New Roman" w:cs="Times New Roman" w:eastAsia="Times New Roman" w:hAnsi="Times New Roman"/>
          <w:sz w:val="18"/>
          <w:szCs w:val="18"/>
          <w:color w:val="auto"/>
        </w:rPr>
        <w:t>has served as our vice president since March 2019. Prior to joining us, Mr. Zhao had been the co-founder and served as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Aiwei Zhizhu Network Technology (Beijing) Co., Ltd. from May 2018 to February 2019. From March 2017 to March 2018, Mr. Li served as the vice president of 369 Global (Beijing) Network Co., Ltd. Prior to that, he was the regional director of Beijing Xiaodu Information Technology Co., Ltd. from July 2014 to March 2017. From March 2011 to October 2012, Mr. Zhao served as the sales director of Beijing Wangluo Tianxia Life Technology Ltd. Prior to that, he was a business director of Yusys Technologies Co., Ltd. (SZSE: 300674) from August 2008 to February 2011. Mr. Zhao received his bachelor’s degree in management from Shandong Technology and Business University in July 2008.</w:t>
      </w:r>
    </w:p>
    <w:p>
      <w:pPr>
        <w:spacing w:after="0" w:line="185" w:lineRule="exact"/>
        <w:rPr>
          <w:sz w:val="20"/>
          <w:szCs w:val="20"/>
          <w:color w:val="auto"/>
        </w:rPr>
      </w:pPr>
    </w:p>
    <w:p>
      <w:pPr>
        <w:ind w:left="200" w:right="6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Bo Bai </w:t>
      </w:r>
      <w:r>
        <w:rPr>
          <w:rFonts w:ascii="Times New Roman" w:cs="Times New Roman" w:eastAsia="Times New Roman" w:hAnsi="Times New Roman"/>
          <w:sz w:val="18"/>
          <w:szCs w:val="18"/>
          <w:color w:val="auto"/>
        </w:rPr>
        <w:t>has served as our vice president since August 2020. Prior to joining us, Mr. Bai had served as a vice president and the chief public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Finup Group Co., Ltd. from September 2016 to December 2019. From June 2014 to September 2016, Mr. Bai served as the deputy director of government affairs at Baidu.com, Inc. (Nasdaq: BIDU; HKEX:9888). Prior to that, he was the deputy director at the policy research department of Beijing Qihoo Technology Co., Ltd. (SHSE: 601360) from June 2012 to September 2013. From November 2008 to June 2012, Mr. Bai served as a senior manager at the policy development department of Tencent Holdings Ltd. (HKEX:0700). He served as a senior public relations manager at the business planning institute of Wanda Group from March 2008 to November 2008. Prior to that, he was the government project manager at president’s office of CITIC Guoan Mengguli Co., Ltd. from July 2005 to December 2007. Mr. Bai received his bachelor’s degree in process equipment and control engineering from Inner Mongolia University of Technology in July 2005, and his master’s degree in civil and commercial law from Renmin University in July 2017.</w:t>
      </w:r>
    </w:p>
    <w:p>
      <w:pPr>
        <w:spacing w:after="0" w:line="189" w:lineRule="exact"/>
        <w:rPr>
          <w:sz w:val="20"/>
          <w:szCs w:val="20"/>
          <w:color w:val="auto"/>
        </w:rPr>
      </w:pPr>
    </w:p>
    <w:p>
      <w:pPr>
        <w:ind w:left="200" w:right="360" w:firstLine="434"/>
        <w:spacing w:after="0" w:line="275" w:lineRule="auto"/>
        <w:rPr>
          <w:sz w:val="20"/>
          <w:szCs w:val="20"/>
          <w:color w:val="auto"/>
        </w:rPr>
      </w:pPr>
      <w:r>
        <w:rPr>
          <w:rFonts w:ascii="Times New Roman" w:cs="Times New Roman" w:eastAsia="Times New Roman" w:hAnsi="Times New Roman"/>
          <w:sz w:val="18"/>
          <w:szCs w:val="18"/>
          <w:color w:val="auto"/>
        </w:rPr>
        <w:t>The business address of our directors and executive officers is Room 710, 5/F, Building No. 1, Zone No. 1, Ronghe Road, Chaoyang District, Beijing, the PRC. No family relationship exists between any of our directors and executive officers.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(1) such director, if his interest (whether direct or indirect) in such contract or arrangement is material, has declared the nature of his interest at the earliest meeting of the board at which it is practicable for him to do so, either specifically or by way of a general notice and (2) if such contract or arrangement is a transaction with a related party, such transaction has been approved by the audit committee. Our directors may exercise all the powers of the company to borrow money, mortgage or charge its undertaking, property and uncalled capital, and issue debentures, debenture share and other securities whenever money is borrowed or as security for any debt, liability or obligation of the company or of any third party. None of our directors has a service contract with us that provides for benefits upon termination of service.</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4"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including an audit committee, a compensation committee and a nominating and corporate governance committee. We have adopted a charter for each of the three committees. Each committee’s members and functions are described below.</w:t>
      </w:r>
    </w:p>
    <w:p>
      <w:pPr>
        <w:spacing w:after="0" w:line="174" w:lineRule="exact"/>
        <w:rPr>
          <w:sz w:val="20"/>
          <w:szCs w:val="20"/>
          <w:color w:val="auto"/>
        </w:rPr>
      </w:pPr>
    </w:p>
    <w:p>
      <w:pPr>
        <w:jc w:val="both"/>
        <w:ind w:left="200" w:right="12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Hongqiang Zhao and Ms. Pei Hua (Helen) Wong. Mr. Hongqiang Zhao is the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audit committee. We have determined that each of Mr. Hongqiang Zhao and Ms. Pei Hua (Helen) Wong satisfies the “independence” requirements of the Rule 5605(c)(2) of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320" w:top="452" w:right="5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Nasdaq Stock Market Listing Rules and meets the independence standards under Rule 10A-3 under the Exchange Act. Our board of directors has also determined that Mr. Hongqiang Zhao qualifies as an “audit committee financial expert” within the meaning of the SEC rules and possesses financial sophistication within the meaning of the Nasdaq Stock Market Listing Rules.</w:t>
      </w:r>
    </w:p>
    <w:p>
      <w:pPr>
        <w:spacing w:after="0" w:line="176" w:lineRule="exact"/>
        <w:rPr>
          <w:sz w:val="20"/>
          <w:szCs w:val="20"/>
          <w:color w:val="auto"/>
        </w:rPr>
      </w:pPr>
    </w:p>
    <w:p>
      <w:pPr>
        <w:ind w:left="200" w:right="240" w:firstLine="434"/>
        <w:spacing w:after="0" w:line="275"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The audit committee will be responsible for, among other things:</w:t>
      </w:r>
    </w:p>
    <w:p>
      <w:pPr>
        <w:spacing w:after="0" w:line="71" w:lineRule="exact"/>
        <w:rPr>
          <w:sz w:val="20"/>
          <w:szCs w:val="20"/>
          <w:color w:val="auto"/>
        </w:rPr>
      </w:pPr>
    </w:p>
    <w:p>
      <w:pPr>
        <w:ind w:left="1160" w:right="280" w:hanging="429"/>
        <w:spacing w:after="0" w:line="275" w:lineRule="auto"/>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our independent registered public accounting firm and pre-approving all auditing and non-auditing services performed by our independent registered public accounting firm;</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 as defined in Item 404 of Regulation S-K under the Securities Act;</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our independent registered public accounting firm;</w:t>
      </w:r>
    </w:p>
    <w:p>
      <w:pPr>
        <w:spacing w:after="0" w:line="125" w:lineRule="exact"/>
        <w:rPr>
          <w:rFonts w:ascii="Times New Roman" w:cs="Times New Roman" w:eastAsia="Times New Roman" w:hAnsi="Times New Roman"/>
          <w:sz w:val="18"/>
          <w:szCs w:val="18"/>
          <w:color w:val="auto"/>
        </w:rPr>
      </w:pPr>
    </w:p>
    <w:p>
      <w:pPr>
        <w:ind w:left="1160" w:right="740" w:hanging="429"/>
        <w:spacing w:after="0" w:line="275" w:lineRule="auto"/>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registered public accounting firms;</w:t>
      </w:r>
    </w:p>
    <w:p>
      <w:pPr>
        <w:spacing w:after="0" w:line="125" w:lineRule="exact"/>
        <w:rPr>
          <w:rFonts w:ascii="Times New Roman" w:cs="Times New Roman" w:eastAsia="Times New Roman" w:hAnsi="Times New Roman"/>
          <w:sz w:val="18"/>
          <w:szCs w:val="18"/>
          <w:color w:val="auto"/>
        </w:rPr>
      </w:pPr>
    </w:p>
    <w:p>
      <w:pPr>
        <w:ind w:left="1160" w:right="760" w:hanging="429"/>
        <w:spacing w:after="0" w:line="275" w:lineRule="auto"/>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of directors.</w:t>
      </w:r>
    </w:p>
    <w:p>
      <w:pPr>
        <w:spacing w:after="0" w:line="216" w:lineRule="exact"/>
        <w:rPr>
          <w:sz w:val="20"/>
          <w:szCs w:val="20"/>
          <w:color w:val="auto"/>
        </w:rPr>
      </w:pPr>
    </w:p>
    <w:p>
      <w:pPr>
        <w:jc w:val="both"/>
        <w:ind w:left="200" w:right="6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Peng Li, Ms. Pei Hua (Helen) Wong and Mr. Hongqiang Zhao. Mr. Peng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 is the chairman of our compensation committee. We have determined that each of Ms. Pei Hua (Helen) Wong and Mr. Hongqiang Zhao satisfies the “independence” requirements of Rule 5605(a)(2) of the Nasdaq Stock Market Listing Rules.</w:t>
      </w:r>
    </w:p>
    <w:p>
      <w:pPr>
        <w:spacing w:after="0" w:line="175"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things:</w:t>
      </w:r>
    </w:p>
    <w:p>
      <w:pPr>
        <w:spacing w:after="0" w:line="125" w:lineRule="exact"/>
        <w:rPr>
          <w:sz w:val="20"/>
          <w:szCs w:val="20"/>
          <w:color w:val="auto"/>
        </w:rPr>
      </w:pPr>
    </w:p>
    <w:p>
      <w:pPr>
        <w:ind w:left="1160" w:right="500" w:hanging="429"/>
        <w:spacing w:after="0" w:line="275"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25" w:lineRule="exact"/>
        <w:rPr>
          <w:rFonts w:ascii="Times New Roman" w:cs="Times New Roman" w:eastAsia="Times New Roman" w:hAnsi="Times New Roman"/>
          <w:sz w:val="18"/>
          <w:szCs w:val="18"/>
          <w:color w:val="auto"/>
        </w:rPr>
      </w:pPr>
    </w:p>
    <w:p>
      <w:pPr>
        <w:ind w:left="1160" w:right="360" w:hanging="429"/>
        <w:spacing w:after="0" w:line="275"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annual bonuses, employee pension and welfare benefit plans; and</w:t>
      </w:r>
    </w:p>
    <w:p>
      <w:pPr>
        <w:spacing w:after="0" w:line="70" w:lineRule="exact"/>
        <w:rPr>
          <w:rFonts w:ascii="Times New Roman" w:cs="Times New Roman" w:eastAsia="Times New Roman" w:hAnsi="Times New Roman"/>
          <w:sz w:val="18"/>
          <w:szCs w:val="18"/>
          <w:color w:val="auto"/>
        </w:rPr>
      </w:pPr>
    </w:p>
    <w:p>
      <w:pPr>
        <w:ind w:left="1160" w:right="220" w:hanging="429"/>
        <w:spacing w:after="0" w:line="275"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2" w:lineRule="exact"/>
        <w:rPr>
          <w:sz w:val="20"/>
          <w:szCs w:val="20"/>
          <w:color w:val="auto"/>
        </w:rPr>
      </w:pPr>
    </w:p>
    <w:p>
      <w:pPr>
        <w:ind w:left="200" w:right="16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Peng Li, Ms. Pei Hua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(Helen) Wong and Mr. Hongqiang Zhao. Mr. Peng Li is the chairman of</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320" w:top="452" w:right="5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40"/>
        <w:spacing w:after="0" w:line="275" w:lineRule="auto"/>
        <w:rPr>
          <w:sz w:val="20"/>
          <w:szCs w:val="20"/>
          <w:color w:val="auto"/>
        </w:rPr>
      </w:pPr>
      <w:r>
        <w:rPr>
          <w:rFonts w:ascii="Times New Roman" w:cs="Times New Roman" w:eastAsia="Times New Roman" w:hAnsi="Times New Roman"/>
          <w:sz w:val="18"/>
          <w:szCs w:val="18"/>
          <w:color w:val="auto"/>
        </w:rPr>
        <w:t>our nominating and corporate governance committee. We have determined that each of Ms. Pei Hua (Helen) Wong and Mr. Hongqiang Zhao satisfies the “independence” requirements of Rule 5605(a)(2) of the Nasdaq Stock Market Listing Rules.</w:t>
      </w:r>
    </w:p>
    <w:p>
      <w:pPr>
        <w:spacing w:after="0" w:line="164"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spacing w:after="0" w:line="71" w:lineRule="exact"/>
        <w:rPr>
          <w:sz w:val="20"/>
          <w:szCs w:val="20"/>
          <w:color w:val="auto"/>
        </w:rPr>
      </w:pPr>
    </w:p>
    <w:p>
      <w:pPr>
        <w:ind w:left="1160" w:hanging="429"/>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125" w:lineRule="exact"/>
        <w:rPr>
          <w:rFonts w:ascii="Times New Roman" w:cs="Times New Roman" w:eastAsia="Times New Roman" w:hAnsi="Times New Roman"/>
          <w:sz w:val="18"/>
          <w:szCs w:val="18"/>
          <w:color w:val="auto"/>
        </w:rPr>
      </w:pPr>
    </w:p>
    <w:p>
      <w:pPr>
        <w:ind w:left="1160" w:right="220" w:hanging="429"/>
        <w:spacing w:after="0" w:line="275" w:lineRule="auto"/>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its composition in light of the characteristics of independence, age, skills, experience and availability of service to us;</w:t>
      </w:r>
    </w:p>
    <w:p>
      <w:pPr>
        <w:spacing w:after="0" w:line="70" w:lineRule="exact"/>
        <w:rPr>
          <w:rFonts w:ascii="Times New Roman" w:cs="Times New Roman" w:eastAsia="Times New Roman" w:hAnsi="Times New Roman"/>
          <w:sz w:val="18"/>
          <w:szCs w:val="18"/>
          <w:color w:val="auto"/>
        </w:rPr>
      </w:pPr>
    </w:p>
    <w:p>
      <w:pPr>
        <w:ind w:left="1160" w:right="620" w:hanging="429"/>
        <w:spacing w:after="0" w:line="275" w:lineRule="auto"/>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70" w:lineRule="exact"/>
        <w:rPr>
          <w:rFonts w:ascii="Times New Roman" w:cs="Times New Roman" w:eastAsia="Times New Roman" w:hAnsi="Times New Roman"/>
          <w:sz w:val="18"/>
          <w:szCs w:val="18"/>
          <w:color w:val="auto"/>
        </w:rPr>
      </w:pPr>
    </w:p>
    <w:p>
      <w:pPr>
        <w:ind w:left="1160" w:right="400" w:hanging="429"/>
        <w:spacing w:after="0" w:line="275" w:lineRule="auto"/>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the corporate governance principles adopted by the board and advising the board with respect to significant developments in the law and practice of corporate governance and our compliance with such laws and practices;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14" w:lineRule="exact"/>
        <w:rPr>
          <w:sz w:val="20"/>
          <w:szCs w:val="20"/>
          <w:color w:val="auto"/>
        </w:rPr>
      </w:pPr>
    </w:p>
    <w:p>
      <w:pPr>
        <w:ind w:left="200" w:right="40" w:firstLine="434"/>
        <w:spacing w:after="0" w:line="249" w:lineRule="auto"/>
        <w:rPr>
          <w:sz w:val="20"/>
          <w:szCs w:val="20"/>
          <w:color w:val="auto"/>
        </w:rPr>
      </w:pPr>
      <w:r>
        <w:rPr>
          <w:rFonts w:ascii="Times New Roman" w:cs="Times New Roman" w:eastAsia="Times New Roman" w:hAnsi="Times New Roman"/>
          <w:sz w:val="18"/>
          <w:szCs w:val="18"/>
          <w:color w:val="auto"/>
        </w:rPr>
        <w:t>Our directors may be appointed by a resolution of our board of directors, or by an ordinary resolution of our shareholders, pursuant to the post-offering memorandum and articles of association of our company effective immediately prior to completion of this offering. An appointment of a Director may be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Unless expressly provided, our directors are not subject to a term of office and hold office until such time as they are removed from office by ordinary resolution of the shareholders. In addition, a director will cease to be a director if, among other things, the director (1) becomes bankrupt or makes any arrangement or composition with his creditors; (2) dies or is found by our company to be or becomes of unsound mind; (3) resigns his office by notice in writing to the company; (4) without special leave of absence from our board, is absent from three consecutive board meetings and our board of directors resolve that his office be vacated; (5) is prohibited by law from being a director; or (6) is removed from office pursuant to any other provision of our post-offering memorandum and articles of association. Our officers are elected by and serve at the discretion of the board of directors.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may have the right to seek damages if a duty owed by our directors is breached. A shareholder may in certain limited exceptional circumstances have the right to seek</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40"/>
          </w:cols>
          <w:pgMar w:left="320" w:top="452" w:right="5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60"/>
        <w:spacing w:after="0" w:line="275" w:lineRule="auto"/>
        <w:rPr>
          <w:sz w:val="20"/>
          <w:szCs w:val="20"/>
          <w:color w:val="auto"/>
        </w:rPr>
      </w:pPr>
      <w:r>
        <w:rPr>
          <w:rFonts w:ascii="Times New Roman" w:cs="Times New Roman" w:eastAsia="Times New Roman" w:hAnsi="Times New Roman"/>
          <w:sz w:val="18"/>
          <w:szCs w:val="18"/>
          <w:color w:val="auto"/>
        </w:rPr>
        <w:t>damages in our name if a duty owed by our directors is breached. See “Description of Share Capital — Differences in Corporate Law” for additional information on our standard of corporate governance under Cayman Islands law.</w:t>
      </w:r>
    </w:p>
    <w:p>
      <w:pPr>
        <w:spacing w:after="0" w:line="164" w:lineRule="exact"/>
        <w:rPr>
          <w:sz w:val="20"/>
          <w:szCs w:val="20"/>
          <w:color w:val="auto"/>
        </w:rPr>
      </w:pPr>
    </w:p>
    <w:p>
      <w:pPr>
        <w:ind w:left="200" w:right="480" w:firstLine="434"/>
        <w:spacing w:after="0" w:line="275"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71" w:lineRule="exact"/>
        <w:rPr>
          <w:sz w:val="20"/>
          <w:szCs w:val="20"/>
          <w:color w:val="auto"/>
        </w:rPr>
      </w:pPr>
    </w:p>
    <w:p>
      <w:pPr>
        <w:ind w:left="1160" w:hanging="42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Each of our executive officers is employed for a specified time period, which will be automatically extended for successive one-year terms unless either party gives the other party a prior written notice to terminate employment. We may terminate the employment for cause, at any time, without advance notice or remuneration, for certain acts of the executive officer, including conviction or pleading of guilty to a felony, fraud, misappropriation or embezzlement, negligent or dishonest act to our detriment, misconduct or failure to perform his or her duty, disability, or death. An executive officer may terminate his or her employment at any time with a one-month prior written notice if there is a material and substantial reduction in such executive officer’s existing authority and responsibilities or at any time if the termination is approved by our board of directors.</w:t>
      </w:r>
    </w:p>
    <w:p>
      <w:pPr>
        <w:spacing w:after="0" w:line="187"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Each executive officer intends to agree to hold, both during and after the employment agreement expires or is earlier terminated, in strict confidence and not to use, except for our benefit, any confidential information. Each executive officer also intends to agree to assign to us all his or her all inventions, improvements, designs, original works of authorship, formulas, processes, compositions of matter, computer software programs, databases, mask works and trade secrets.</w:t>
      </w:r>
    </w:p>
    <w:p>
      <w:pPr>
        <w:spacing w:after="0" w:line="181"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Each executive officer intends to agree that, during his or her term of employment and for a period of one-year after terminating employment with us, such executive officer will not, without our prior written consent, (1)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(2) assume employment with or provide services to any of our competitors, or engage, whether as principal, partner, licensor or otherwise, any of our competitors, without our express consent; or (3) seek directly or indirectly, to solicit the services of, or hire or engage any of our employees who is employed by us on or after the date of the executive officer’s termination, or in the year preceding such termination, without our express consent.</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4"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00"/>
          </w:cols>
          <w:pgMar w:left="320" w:top="452" w:right="5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14" w:lineRule="exact"/>
        <w:rPr>
          <w:sz w:val="20"/>
          <w:szCs w:val="20"/>
          <w:color w:val="auto"/>
        </w:rPr>
      </w:pPr>
    </w:p>
    <w:p>
      <w:pPr>
        <w:ind w:left="200" w:right="360" w:firstLine="434"/>
        <w:spacing w:after="0" w:line="275" w:lineRule="auto"/>
        <w:rPr>
          <w:sz w:val="20"/>
          <w:szCs w:val="20"/>
          <w:color w:val="auto"/>
        </w:rPr>
      </w:pPr>
      <w:r>
        <w:rPr>
          <w:rFonts w:ascii="Times New Roman" w:cs="Times New Roman" w:eastAsia="Times New Roman" w:hAnsi="Times New Roman"/>
          <w:sz w:val="18"/>
          <w:szCs w:val="18"/>
          <w:color w:val="auto"/>
        </w:rPr>
        <w:t>We have adopted code of ethics, applicable to all of our directors, executive officers and employees. We will make our code of ethics publicly available on our website.</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14"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For the fiscal year ended June 30, 2022, the aggregate cash compensation to executive officers was approximately RMB9.0 million (US$1.3 million), and we did not pay any compensation to our directors who are not our executive officers during the same period. This amount consisted only of cash and did not include any share-based compensation or benefits in kind. Each of our directors and officers is entitled to reimbursement for all necessary and reasonable expenses properly incurred in the course of employment or service. We have not set aside or accrued any amount to provide pension, retirement or other similar benefits to our executive officers and directors, except that our subsidiary and the affiliated entities are required by law to make contributions equal to certain percentages of each employee’s salary for his or her pension insurance, medical insurance, unemployment insurance and other statutory benefits and a housing provident fund. Our board of directors may determine compensation to be paid to the directors and the executive officers. The compensation committee will assist the directors in reviewing and approving the compensation structure for the directors and the executive officers.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information regarding share awards granted to our directors and officers, see “— Share Incentive Plans.”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2018 Plan</w:t>
      </w:r>
    </w:p>
    <w:p>
      <w:pPr>
        <w:spacing w:after="0" w:line="116" w:lineRule="exact"/>
        <w:rPr>
          <w:sz w:val="20"/>
          <w:szCs w:val="20"/>
          <w:color w:val="auto"/>
        </w:rPr>
      </w:pPr>
    </w:p>
    <w:p>
      <w:pPr>
        <w:ind w:left="200" w:right="60" w:firstLine="434"/>
        <w:spacing w:after="0" w:line="305" w:lineRule="auto"/>
        <w:rPr>
          <w:sz w:val="20"/>
          <w:szCs w:val="20"/>
          <w:color w:val="auto"/>
        </w:rPr>
      </w:pPr>
      <w:r>
        <w:rPr>
          <w:rFonts w:ascii="Times New Roman" w:cs="Times New Roman" w:eastAsia="Times New Roman" w:hAnsi="Times New Roman"/>
          <w:sz w:val="17"/>
          <w:szCs w:val="17"/>
          <w:color w:val="auto"/>
        </w:rPr>
        <w:t>In May 2022, our board of directors approved and adopted our 2018 share incentive plan (the “2018 Plan”). The 2018 Plan is intended to promote our success and shareholder value by attracting, motivating and retaining selected employees and other eligible participants through the awards.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2018 Plan.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2018 Plan permits the award of (1) options and share appreciation rights and (2) restricted or unrestricted shares.</w:t>
      </w:r>
    </w:p>
    <w:p>
      <w:pPr>
        <w:spacing w:after="0" w:line="218" w:lineRule="exact"/>
        <w:rPr>
          <w:sz w:val="20"/>
          <w:szCs w:val="20"/>
          <w:color w:val="auto"/>
        </w:rPr>
      </w:pPr>
    </w:p>
    <w:p>
      <w:pPr>
        <w:ind w:left="200" w:right="2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2018 Plan provides for the grant of awards to, among others, officers or employees, directors or consultants of our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directors or consultants of our related entities, such as a subsidiary corporation.</w:t>
      </w:r>
    </w:p>
    <w:p>
      <w:pPr>
        <w:spacing w:after="0" w:line="160" w:lineRule="exact"/>
        <w:rPr>
          <w:sz w:val="20"/>
          <w:szCs w:val="20"/>
          <w:color w:val="auto"/>
        </w:rPr>
      </w:pPr>
    </w:p>
    <w:p>
      <w:pPr>
        <w:ind w:left="200" w:right="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Subject to the terms of the 2018 Plan, the 2018 Plan will be administered by our board of directors, or one or more committees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our board of directors, comprising at least one member of the board of directors.</w:t>
      </w:r>
    </w:p>
    <w:p>
      <w:pPr>
        <w:spacing w:after="0" w:line="160" w:lineRule="exact"/>
        <w:rPr>
          <w:sz w:val="20"/>
          <w:szCs w:val="20"/>
          <w:color w:val="auto"/>
        </w:rPr>
      </w:pPr>
    </w:p>
    <w:p>
      <w:pPr>
        <w:ind w:left="200" w:right="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Award agreements. </w:t>
      </w:r>
      <w:r>
        <w:rPr>
          <w:rFonts w:ascii="Times New Roman" w:cs="Times New Roman" w:eastAsia="Times New Roman" w:hAnsi="Times New Roman"/>
          <w:sz w:val="18"/>
          <w:szCs w:val="18"/>
          <w:color w:val="auto"/>
        </w:rPr>
        <w:t>Awards granted under the 2018 Plan are evidenced by an award agreement that sets forth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terms, provisions and restrictions of the award.</w:t>
      </w:r>
    </w:p>
    <w:p>
      <w:pPr>
        <w:spacing w:after="0" w:line="160" w:lineRule="exact"/>
        <w:rPr>
          <w:sz w:val="20"/>
          <w:szCs w:val="20"/>
          <w:color w:val="auto"/>
        </w:rPr>
      </w:pPr>
    </w:p>
    <w:p>
      <w:pPr>
        <w:ind w:left="200" w:right="4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Vesting schedule and price.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will have sole discretion in approving and amending the terms and conditions of awards including, among others, exercise, base or purchase prices, the types, number and rights of shares granted, vesting and exercise schedules and acceleration provisions, as applicable, which are stated in the award agreement.</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40"/>
          </w:cols>
          <w:pgMar w:left="320" w:top="452"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right="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Compliance with law. </w:t>
      </w:r>
      <w:r>
        <w:rPr>
          <w:rFonts w:ascii="Times New Roman" w:cs="Times New Roman" w:eastAsia="Times New Roman" w:hAnsi="Times New Roman"/>
          <w:sz w:val="18"/>
          <w:szCs w:val="18"/>
          <w:color w:val="auto"/>
        </w:rPr>
        <w:t>An award may not be exercised nor may any shares be issued thereunder unless the exercise and issuance complies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w:t>
      </w:r>
    </w:p>
    <w:p>
      <w:pPr>
        <w:spacing w:after="0" w:line="160" w:lineRule="exact"/>
        <w:rPr>
          <w:sz w:val="20"/>
          <w:szCs w:val="20"/>
          <w:color w:val="auto"/>
        </w:rPr>
      </w:pPr>
    </w:p>
    <w:p>
      <w:pPr>
        <w:ind w:left="200" w:right="6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An award may not be transferred, except provided in the 2018 Plan, such as transfers by will or by laws of descent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 provided in the relevant award agreement or otherwise determined by the plan administrator.</w:t>
      </w:r>
    </w:p>
    <w:p>
      <w:pPr>
        <w:spacing w:after="0" w:line="160" w:lineRule="exact"/>
        <w:rPr>
          <w:sz w:val="20"/>
          <w:szCs w:val="20"/>
          <w:color w:val="auto"/>
        </w:rPr>
      </w:pPr>
    </w:p>
    <w:p>
      <w:pPr>
        <w:ind w:left="2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Changes to capitalization. </w:t>
      </w:r>
      <w:r>
        <w:rPr>
          <w:rFonts w:ascii="Times New Roman" w:cs="Times New Roman" w:eastAsia="Times New Roman" w:hAnsi="Times New Roman"/>
          <w:sz w:val="18"/>
          <w:szCs w:val="18"/>
          <w:color w:val="auto"/>
        </w:rPr>
        <w:t>In the event of share splits, combinations, exchanges and other specified changes in our capital structure not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receipt of consideration by us, the 2018 Plan provides for the proportional adjustment of the number and class of shares reserved under the 2018 Plan and the number, class and price of shares, if applicable, of all outstanding awards.</w:t>
      </w:r>
    </w:p>
    <w:p>
      <w:pPr>
        <w:spacing w:after="0" w:line="173" w:lineRule="exact"/>
        <w:rPr>
          <w:sz w:val="20"/>
          <w:szCs w:val="20"/>
          <w:color w:val="auto"/>
        </w:rPr>
      </w:pPr>
    </w:p>
    <w:p>
      <w:pPr>
        <w:ind w:left="200" w:right="6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control events. </w:t>
      </w:r>
      <w:r>
        <w:rPr>
          <w:rFonts w:ascii="Times New Roman" w:cs="Times New Roman" w:eastAsia="Times New Roman" w:hAnsi="Times New Roman"/>
          <w:sz w:val="18"/>
          <w:szCs w:val="18"/>
          <w:color w:val="auto"/>
        </w:rPr>
        <w:t>In the event of a change in control, the administrator may make provision for a cash payment in settlement of, or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substitution or exchange of any or all outstanding awards. Each outstanding Award (whether or not vested and/or exercisable) shall terminate, subject to any provision that has been expressly made by the administrator for the survival, substitution, assumption, exchange or other continuation or settlement.</w:t>
      </w:r>
    </w:p>
    <w:p>
      <w:pPr>
        <w:spacing w:after="0" w:line="177" w:lineRule="exact"/>
        <w:rPr>
          <w:sz w:val="20"/>
          <w:szCs w:val="20"/>
          <w:color w:val="auto"/>
        </w:rPr>
      </w:pPr>
    </w:p>
    <w:p>
      <w:pPr>
        <w:ind w:left="2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2018 Plan has a term of ten years commencing from the date of the board approval, unless terminated earlier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its terms. Our board of directors has the authority to terminate, amend or modify the 2018 Plan. However, no amendment, suspension or termination of the 2018 Plan may, without written consent of the participant, in any manner materially and adversely affect the participant’s rights and benefits of such award granted to a participant prior to the relevant change.</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2021 Plan</w:t>
      </w:r>
    </w:p>
    <w:p>
      <w:pPr>
        <w:spacing w:after="0" w:line="116" w:lineRule="exact"/>
        <w:rPr>
          <w:sz w:val="20"/>
          <w:szCs w:val="20"/>
          <w:color w:val="auto"/>
        </w:rPr>
      </w:pPr>
    </w:p>
    <w:p>
      <w:pPr>
        <w:jc w:val="both"/>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In May 2022, our board of directors approved and adopted our 2021 global share plan (the “2021 Plan”). The 2021 Plan is intended to attract and retain the best available personnel for positions of substantial responsibility, to provide additional incentive to selected eligible participants and promote our business success through the awards.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2021 Plan.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2021 Plan permits the award of options and share purchase rights.</w:t>
      </w:r>
    </w:p>
    <w:p>
      <w:pPr>
        <w:spacing w:after="0" w:line="218" w:lineRule="exact"/>
        <w:rPr>
          <w:sz w:val="20"/>
          <w:szCs w:val="20"/>
          <w:color w:val="auto"/>
        </w:rPr>
      </w:pPr>
    </w:p>
    <w:p>
      <w:pPr>
        <w:ind w:left="200" w:right="2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2021 Plan provides for the grant of awards to, among others, officers or employees, directors or consultants of our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directors or consultants of our related entities, such as a subsidiary corporation.</w:t>
      </w:r>
    </w:p>
    <w:p>
      <w:pPr>
        <w:spacing w:after="0" w:line="160" w:lineRule="exact"/>
        <w:rPr>
          <w:sz w:val="20"/>
          <w:szCs w:val="20"/>
          <w:color w:val="auto"/>
        </w:rPr>
      </w:pPr>
    </w:p>
    <w:p>
      <w:pPr>
        <w:ind w:left="200" w:right="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Subject to the terms of the 2021 Plan, the 2021 Plan will be administered by our board of directors, or one or more committees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our board of directors, comprising at least one member of the board of directors.</w:t>
      </w:r>
    </w:p>
    <w:p>
      <w:pPr>
        <w:spacing w:after="0" w:line="160" w:lineRule="exact"/>
        <w:rPr>
          <w:sz w:val="20"/>
          <w:szCs w:val="20"/>
          <w:color w:val="auto"/>
        </w:rPr>
      </w:pPr>
    </w:p>
    <w:p>
      <w:pPr>
        <w:ind w:left="200" w:right="18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options. </w:t>
      </w:r>
      <w:r>
        <w:rPr>
          <w:rFonts w:ascii="Times New Roman" w:cs="Times New Roman" w:eastAsia="Times New Roman" w:hAnsi="Times New Roman"/>
          <w:sz w:val="18"/>
          <w:szCs w:val="18"/>
          <w:color w:val="auto"/>
        </w:rPr>
        <w:t>Options granted under the 2021 Plan are evidenced by an award agreement that sets forth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options, such as the number of shares and types and term of options, exercise price and certain provisions applicable in the event that the grantee’s employment or service terminates. In general, the plan administrator determines such terms and conditions in their sole discretion, which are stated in the award agreement.</w:t>
      </w:r>
    </w:p>
    <w:p>
      <w:pPr>
        <w:spacing w:after="0" w:line="177" w:lineRule="exact"/>
        <w:rPr>
          <w:sz w:val="20"/>
          <w:szCs w:val="20"/>
          <w:color w:val="auto"/>
        </w:rPr>
      </w:pPr>
    </w:p>
    <w:p>
      <w:pPr>
        <w:jc w:val="both"/>
        <w:ind w:left="200" w:right="8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share purchase rights. </w:t>
      </w:r>
      <w:r>
        <w:rPr>
          <w:rFonts w:ascii="Times New Roman" w:cs="Times New Roman" w:eastAsia="Times New Roman" w:hAnsi="Times New Roman"/>
          <w:sz w:val="18"/>
          <w:szCs w:val="18"/>
          <w:color w:val="auto"/>
        </w:rPr>
        <w:t>Share purchase rights granted under the 2021 Plan are evidenced by an award agreement that 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terms and conditions for the share purchase rights, such as the duration of offer of shares and the purchase price. In general, the plan administrator determines such terms and conditions in their sole discretion, which are stated in the award agreement.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40"/>
          </w:cols>
          <w:pgMar w:left="320" w:top="452" w:right="5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right="1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Compliance with law. </w:t>
      </w:r>
      <w:r>
        <w:rPr>
          <w:rFonts w:ascii="Times New Roman" w:cs="Times New Roman" w:eastAsia="Times New Roman" w:hAnsi="Times New Roman"/>
          <w:sz w:val="18"/>
          <w:szCs w:val="18"/>
          <w:color w:val="auto"/>
        </w:rPr>
        <w:t>An award may not be exercised nor may any shares be issued thereunder unless the exercise and issuance complies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w:t>
      </w:r>
    </w:p>
    <w:p>
      <w:pPr>
        <w:spacing w:after="0" w:line="160" w:lineRule="exact"/>
        <w:rPr>
          <w:sz w:val="20"/>
          <w:szCs w:val="20"/>
          <w:color w:val="auto"/>
        </w:rPr>
      </w:pPr>
    </w:p>
    <w:p>
      <w:pPr>
        <w:ind w:left="200" w:right="8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An award may not be transferred, except provided in the 2021 Plan, such as transfers by will or by laws of descent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 provided in the relevant award agreement or otherwise determined by the plan administrator.</w:t>
      </w:r>
    </w:p>
    <w:p>
      <w:pPr>
        <w:spacing w:after="0" w:line="160" w:lineRule="exact"/>
        <w:rPr>
          <w:sz w:val="20"/>
          <w:szCs w:val="20"/>
          <w:color w:val="auto"/>
        </w:rPr>
      </w:pPr>
    </w:p>
    <w:p>
      <w:pPr>
        <w:ind w:left="200" w:right="12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Changes to capitalization. </w:t>
      </w:r>
      <w:r>
        <w:rPr>
          <w:rFonts w:ascii="Times New Roman" w:cs="Times New Roman" w:eastAsia="Times New Roman" w:hAnsi="Times New Roman"/>
          <w:sz w:val="18"/>
          <w:szCs w:val="18"/>
          <w:color w:val="auto"/>
        </w:rPr>
        <w:t>In the event of dividend or other distribution, recapitalization, share split reorganization and other specified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structure, the 2021 Plan provides for the adjustment of the number and class of shares that may be delivered under the 2021 Plan and/or the number, class, and price of shares covered by each outstanding award.</w:t>
      </w:r>
    </w:p>
    <w:p>
      <w:pPr>
        <w:spacing w:after="0" w:line="173" w:lineRule="exact"/>
        <w:rPr>
          <w:sz w:val="20"/>
          <w:szCs w:val="20"/>
          <w:color w:val="auto"/>
        </w:rPr>
      </w:pPr>
    </w:p>
    <w:p>
      <w:pPr>
        <w:ind w:left="200" w:right="12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Change in control events. </w:t>
      </w:r>
      <w:r>
        <w:rPr>
          <w:rFonts w:ascii="Times New Roman" w:cs="Times New Roman" w:eastAsia="Times New Roman" w:hAnsi="Times New Roman"/>
          <w:sz w:val="18"/>
          <w:szCs w:val="18"/>
          <w:color w:val="auto"/>
        </w:rPr>
        <w:t>In the event of a change in control, each outstanding award, and, if applicable, each right of us to repurchase or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acquired will be assumed or an equivalent award substituted by the successor corporation.</w:t>
      </w:r>
    </w:p>
    <w:p>
      <w:pPr>
        <w:spacing w:after="0" w:line="160" w:lineRule="exact"/>
        <w:rPr>
          <w:sz w:val="20"/>
          <w:szCs w:val="20"/>
          <w:color w:val="auto"/>
        </w:rPr>
      </w:pPr>
    </w:p>
    <w:p>
      <w:pPr>
        <w:ind w:left="200" w:right="12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2021 Plan has a term of ten years commencing from the date of the board approval, unless terminated earlier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its terms. Our board of directors has the authority to terminate, amend or modify the 2021 Plan. However, without written agreement between the participant and the administrator, no amendment, alteration, suspension, or termination of the 2021 Plan shall materially and adversely impair the rights of any participant with respect to an outstanding award.</w:t>
      </w:r>
    </w:p>
    <w:p>
      <w:pPr>
        <w:spacing w:after="0" w:line="179" w:lineRule="exact"/>
        <w:rPr>
          <w:sz w:val="20"/>
          <w:szCs w:val="20"/>
          <w:color w:val="auto"/>
        </w:rPr>
      </w:pPr>
    </w:p>
    <w:p>
      <w:pPr>
        <w:ind w:left="200" w:right="380" w:firstLine="43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has been no options granted to our directors and executive officers under the 2018 Plan. The following table summarizes, as of the date of this prospectus, the number of ordinary shares under outstanding options that we granted to our directors and executive officers under the 2021 Plan:</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40" w:type="dxa"/>
            <w:vAlign w:val="bottom"/>
            <w:vMerge w:val="restart"/>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740" w:type="dxa"/>
            <w:vAlign w:val="bottom"/>
            <w:gridSpan w:val="2"/>
            <w:vMerge w:val="continue"/>
          </w:tcPr>
          <w:p>
            <w:pPr>
              <w:spacing w:after="0"/>
              <w:rPr>
                <w:sz w:val="12"/>
                <w:szCs w:val="12"/>
                <w:color w:val="auto"/>
              </w:rPr>
            </w:pPr>
          </w:p>
        </w:tc>
        <w:tc>
          <w:tcPr>
            <w:tcW w:w="2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00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4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(US$/Share)</w:t>
            </w:r>
          </w:p>
        </w:tc>
        <w:tc>
          <w:tcPr>
            <w:tcW w:w="2600" w:type="dxa"/>
            <w:vAlign w:val="bottom"/>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Peng Li</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ind w:left="11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920" w:type="dxa"/>
            <w:vAlign w:val="bottom"/>
            <w:tcBorders>
              <w:top w:val="single" w:sz="8" w:color="auto"/>
            </w:tcBorders>
            <w:shd w:val="clear" w:color="auto" w:fill="CCEEFF"/>
          </w:tcPr>
          <w:p>
            <w:pPr>
              <w:ind w:left="13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Jinshan Li</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3,237,958</w:t>
            </w:r>
          </w:p>
        </w:tc>
        <w:tc>
          <w:tcPr>
            <w:tcW w:w="160" w:type="dxa"/>
            <w:vAlign w:val="bottom"/>
          </w:tcPr>
          <w:p>
            <w:pPr>
              <w:spacing w:after="0"/>
              <w:rPr>
                <w:sz w:val="12"/>
                <w:szCs w:val="12"/>
                <w:color w:val="auto"/>
              </w:rPr>
            </w:pPr>
          </w:p>
        </w:tc>
        <w:tc>
          <w:tcPr>
            <w:tcW w:w="1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US$0.0005 – US$0.1</w:t>
            </w:r>
          </w:p>
        </w:tc>
        <w:tc>
          <w:tcPr>
            <w:tcW w:w="26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July 1, 2018 – October 1, 2022</w:t>
            </w:r>
          </w:p>
        </w:tc>
        <w:tc>
          <w:tcPr>
            <w:tcW w:w="2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June 30, 2028 – September 30, 2032</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Frank Lin</w:t>
            </w:r>
          </w:p>
        </w:tc>
        <w:tc>
          <w:tcPr>
            <w:tcW w:w="10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0" w:type="dxa"/>
            <w:vAlign w:val="bottom"/>
            <w:gridSpan w:val="2"/>
            <w:shd w:val="clear" w:color="auto" w:fill="CCEEFF"/>
          </w:tcPr>
          <w:p>
            <w:pPr>
              <w:ind w:left="1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920" w:type="dxa"/>
            <w:vAlign w:val="bottom"/>
            <w:shd w:val="clear" w:color="auto" w:fill="CCEEFF"/>
          </w:tcPr>
          <w:p>
            <w:pPr>
              <w:ind w:left="13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Dong Xie</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2,060,000</w:t>
            </w:r>
          </w:p>
        </w:tc>
        <w:tc>
          <w:tcPr>
            <w:tcW w:w="160" w:type="dxa"/>
            <w:vAlign w:val="bottom"/>
          </w:tcPr>
          <w:p>
            <w:pPr>
              <w:spacing w:after="0"/>
              <w:rPr>
                <w:sz w:val="12"/>
                <w:szCs w:val="12"/>
                <w:color w:val="auto"/>
              </w:rPr>
            </w:pPr>
          </w:p>
        </w:tc>
        <w:tc>
          <w:tcPr>
            <w:tcW w:w="1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US$0.1</w:t>
            </w:r>
          </w:p>
        </w:tc>
        <w:tc>
          <w:tcPr>
            <w:tcW w:w="26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April 1, 2021 – October 1, 2022</w:t>
            </w:r>
          </w:p>
        </w:tc>
        <w:tc>
          <w:tcPr>
            <w:tcW w:w="2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March 31, 2031 – September 30, 2032</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Xihao Liu</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US$0.1</w:t>
            </w:r>
          </w:p>
        </w:tc>
        <w:tc>
          <w:tcPr>
            <w:tcW w:w="260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July 1, 2020 – October 1, 2022</w:t>
            </w:r>
          </w:p>
        </w:tc>
        <w:tc>
          <w:tcPr>
            <w:tcW w:w="29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June 30, 2030 – September 30, 2032</w:t>
            </w:r>
          </w:p>
        </w:tc>
        <w:tc>
          <w:tcPr>
            <w:tcW w:w="0" w:type="dxa"/>
            <w:vAlign w:val="bottom"/>
          </w:tcPr>
          <w:p>
            <w:pPr>
              <w:spacing w:after="0"/>
              <w:rPr>
                <w:sz w:val="1"/>
                <w:szCs w:val="1"/>
                <w:color w:val="auto"/>
              </w:rPr>
            </w:pPr>
          </w:p>
        </w:tc>
      </w:tr>
      <w:tr>
        <w:trPr>
          <w:trHeight w:val="146"/>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Pei Hua (Helen) Wong</w:t>
            </w:r>
          </w:p>
        </w:tc>
        <w:tc>
          <w:tcPr>
            <w:tcW w:w="10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0" w:type="dxa"/>
            <w:vAlign w:val="bottom"/>
            <w:gridSpan w:val="2"/>
          </w:tcPr>
          <w:p>
            <w:pPr>
              <w:ind w:left="1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13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Hongqiang Zhao</w:t>
            </w:r>
          </w:p>
        </w:tc>
        <w:tc>
          <w:tcPr>
            <w:tcW w:w="10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0" w:type="dxa"/>
            <w:vAlign w:val="bottom"/>
            <w:gridSpan w:val="2"/>
            <w:shd w:val="clear" w:color="auto" w:fill="CCEEFF"/>
          </w:tcPr>
          <w:p>
            <w:pPr>
              <w:ind w:left="1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920" w:type="dxa"/>
            <w:vAlign w:val="bottom"/>
            <w:shd w:val="clear" w:color="auto" w:fill="CCEEFF"/>
          </w:tcPr>
          <w:p>
            <w:pPr>
              <w:ind w:left="13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Chun Wang</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US$0.1</w:t>
            </w:r>
          </w:p>
        </w:tc>
        <w:tc>
          <w:tcPr>
            <w:tcW w:w="26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July 1, 2020 – October 1, 2022</w:t>
            </w:r>
          </w:p>
        </w:tc>
        <w:tc>
          <w:tcPr>
            <w:tcW w:w="2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June 30, 2030 – September 30, 2032</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Guangfei Zhao</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US$0.1</w:t>
            </w:r>
          </w:p>
        </w:tc>
        <w:tc>
          <w:tcPr>
            <w:tcW w:w="260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July 1, 2019 – October 1, 2022</w:t>
            </w:r>
          </w:p>
        </w:tc>
        <w:tc>
          <w:tcPr>
            <w:tcW w:w="29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June 30, 2029 – September 30, 2032</w:t>
            </w:r>
          </w:p>
        </w:tc>
        <w:tc>
          <w:tcPr>
            <w:tcW w:w="0" w:type="dxa"/>
            <w:vAlign w:val="bottom"/>
          </w:tcPr>
          <w:p>
            <w:pPr>
              <w:spacing w:after="0"/>
              <w:rPr>
                <w:sz w:val="1"/>
                <w:szCs w:val="1"/>
                <w:color w:val="auto"/>
              </w:rPr>
            </w:pPr>
          </w:p>
        </w:tc>
      </w:tr>
      <w:tr>
        <w:trPr>
          <w:trHeight w:val="146"/>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Bo Bai</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US$0.1</w:t>
            </w:r>
          </w:p>
        </w:tc>
        <w:tc>
          <w:tcPr>
            <w:tcW w:w="26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April 1, 2021 – October 1, 2022</w:t>
            </w:r>
          </w:p>
        </w:tc>
        <w:tc>
          <w:tcPr>
            <w:tcW w:w="2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March 31, 2031 – September 30, 2032</w:t>
            </w:r>
          </w:p>
        </w:tc>
        <w:tc>
          <w:tcPr>
            <w:tcW w:w="0" w:type="dxa"/>
            <w:vAlign w:val="bottom"/>
          </w:tcPr>
          <w:p>
            <w:pPr>
              <w:spacing w:after="0"/>
              <w:rPr>
                <w:sz w:val="1"/>
                <w:szCs w:val="1"/>
                <w:color w:val="auto"/>
              </w:rPr>
            </w:pPr>
          </w:p>
        </w:tc>
      </w:tr>
      <w:tr>
        <w:trPr>
          <w:trHeight w:val="124"/>
        </w:trPr>
        <w:tc>
          <w:tcPr>
            <w:tcW w:w="26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All directors and executive officers as a</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12,097,958</w:t>
            </w:r>
          </w:p>
        </w:tc>
        <w:tc>
          <w:tcPr>
            <w:tcW w:w="160" w:type="dxa"/>
            <w:vAlign w:val="bottom"/>
            <w:shd w:val="clear" w:color="auto" w:fill="CCEEFF"/>
          </w:tcPr>
          <w:p>
            <w:pPr>
              <w:spacing w:after="0"/>
              <w:rPr>
                <w:sz w:val="10"/>
                <w:szCs w:val="10"/>
                <w:color w:val="auto"/>
              </w:rPr>
            </w:pPr>
          </w:p>
        </w:tc>
        <w:tc>
          <w:tcPr>
            <w:tcW w:w="1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26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9"/>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group</w:t>
            </w: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2600" w:type="dxa"/>
            <w:vAlign w:val="bottom"/>
            <w:gridSpan w:val="2"/>
            <w:vMerge w:val="continue"/>
            <w:shd w:val="clear" w:color="auto" w:fill="CCEEFF"/>
          </w:tcPr>
          <w:p>
            <w:pPr>
              <w:spacing w:after="0"/>
              <w:rPr>
                <w:sz w:val="14"/>
                <w:szCs w:val="14"/>
                <w:color w:val="auto"/>
              </w:rPr>
            </w:pPr>
          </w:p>
        </w:tc>
        <w:tc>
          <w:tcPr>
            <w:tcW w:w="2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7" w:lineRule="exact"/>
        <w:rPr>
          <w:sz w:val="20"/>
          <w:szCs w:val="20"/>
          <w:color w:val="auto"/>
        </w:rPr>
      </w:pPr>
    </w:p>
    <w:p>
      <w:pPr>
        <w:ind w:left="620" w:hanging="421"/>
        <w:spacing w:after="0"/>
        <w:tabs>
          <w:tab w:leader="none" w:pos="6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our total outstanding ordinary share on an as-converted basis.</w:t>
      </w:r>
    </w:p>
    <w:p>
      <w:pPr>
        <w:spacing w:after="0" w:line="202"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maximum aggregate number of ordinary shares which may be issued pursuant to all awards under the 2018 Plan and the 2021 Plan is 21,717,118 shares, which will be re-classified and designated as Class A ordinary shares upon the completion of this offering. Effective upon the completion of this offering, an additional 16,523,627 Class A ordinary shares representing 10% of the total issued and outstanding ordinary shares immediately upon the completion of this offering (without taking into account of the number of shares issuable pursuant to exercise of the underwriters’ option to purchase additional ADSs in this offering) will be reserved for the 2021 Plan. As of the date of this prospectus, options to purchase a total of</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60"/>
          </w:cols>
          <w:pgMar w:left="320" w:top="452" w:right="5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18,640,751 ordinary shares under the 2021 Plan have been granted and outstanding, and none of such options has been exercised. As of the date of this prospectus, there has been no options granted under the 2018 Plan. As of the date of this prospectus, grantees other than our directors and executive officers above, as a group, held options to purchase an aggregate of 6,542,793 shares, with exercise prices ranging from US$0.0005 per share to US$0.8 per share.</w:t>
      </w:r>
    </w:p>
    <w:p>
      <w:pPr>
        <w:spacing w:after="0" w:line="181" w:lineRule="exact"/>
        <w:rPr>
          <w:sz w:val="20"/>
          <w:szCs w:val="20"/>
          <w:color w:val="auto"/>
        </w:rPr>
      </w:pPr>
    </w:p>
    <w:p>
      <w:pPr>
        <w:ind w:left="200" w:right="320" w:firstLine="434"/>
        <w:spacing w:after="0" w:line="275" w:lineRule="auto"/>
        <w:rPr>
          <w:sz w:val="20"/>
          <w:szCs w:val="20"/>
          <w:color w:val="auto"/>
        </w:rPr>
      </w:pPr>
      <w:r>
        <w:rPr>
          <w:rFonts w:ascii="Times New Roman" w:cs="Times New Roman" w:eastAsia="Times New Roman" w:hAnsi="Times New Roman"/>
          <w:sz w:val="18"/>
          <w:szCs w:val="18"/>
          <w:color w:val="auto"/>
        </w:rPr>
        <w:t>For discussions of our accounting policies and estimates for awards granted pursuant to the 2018 Plan and the 2021 Plan, see “Management’s Discussion and Analysis of Financial Condition and Results of Operations.”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 Restriction Agreement</w:t>
      </w:r>
    </w:p>
    <w:p>
      <w:pPr>
        <w:spacing w:after="0" w:line="114"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In May 2022, entities respectively controlled by our founder Mr. Peng Li entered into share restriction agreements with us, pursuant to which 54,042,638 pre-offering Class B ordinary shares and 600,000 pre-offering Class A ordinary shares beneficially owned by Mr. Peng Li became restricted shares, subject to certain repurchase and transfer restrictions. 75% of the restricted shares have been vested and released from the repurchase and transfer restrictions as of April 26, 2020, and the remaining 25% of the restricted shares were to be vested annually in equal installments over the two years starting from August 13, 2020. All the unvested restricted shares will be vested immediately and released from all the restrictions upon the completion of this offering.</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80"/>
          </w:cols>
          <w:pgMar w:left="320" w:top="452" w:right="5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0" w:lineRule="exact"/>
        <w:rPr>
          <w:sz w:val="20"/>
          <w:szCs w:val="20"/>
          <w:color w:val="auto"/>
        </w:rPr>
      </w:pPr>
    </w:p>
    <w:p>
      <w:pPr>
        <w:ind w:left="200" w:right="480" w:firstLine="434"/>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the date of this prospectus on an as-converted basis and as adjusted for this offering, by:</w:t>
      </w:r>
    </w:p>
    <w:p>
      <w:pPr>
        <w:spacing w:after="0" w:line="71" w:lineRule="exact"/>
        <w:rPr>
          <w:sz w:val="20"/>
          <w:szCs w:val="20"/>
          <w:color w:val="auto"/>
        </w:rPr>
      </w:pPr>
    </w:p>
    <w:p>
      <w:pPr>
        <w:ind w:left="1160" w:hanging="429"/>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ordinary shares.</w:t>
      </w:r>
    </w:p>
    <w:p>
      <w:pPr>
        <w:spacing w:after="0" w:line="218" w:lineRule="exact"/>
        <w:rPr>
          <w:sz w:val="20"/>
          <w:szCs w:val="20"/>
          <w:color w:val="auto"/>
        </w:rPr>
      </w:pPr>
    </w:p>
    <w:p>
      <w:pPr>
        <w:ind w:left="200" w:right="160" w:firstLine="434"/>
        <w:spacing w:after="0" w:line="252" w:lineRule="auto"/>
        <w:rPr>
          <w:sz w:val="20"/>
          <w:szCs w:val="20"/>
          <w:color w:val="auto"/>
        </w:rPr>
      </w:pPr>
      <w:r>
        <w:rPr>
          <w:rFonts w:ascii="Times New Roman" w:cs="Times New Roman" w:eastAsia="Times New Roman" w:hAnsi="Times New Roman"/>
          <w:sz w:val="18"/>
          <w:szCs w:val="18"/>
          <w:color w:val="auto"/>
        </w:rPr>
        <w:t>The calculations in the table below are based on (1) 105,627,220 pre-offering Class A ordinary shares and 49,859,049 pre-offering Class B ordinary shares issued and outstanding, as of the date of this prospectus, and (2) 115,377,220 Class A ordinary shares and 49,859,049 Class B ordinary shares issued and outstanding immediately after the completion of this offering, including 9,750,000 Class A ordinary shares to be sold by us in this offering in the form of ADSs, assuming the underwriters do not exercise their option to purchase additional ADSs. Each holder of Class A ordinary shares is entitled to one vote per share and each holder of our Class B ordinary shares is entitled to ten votes per share on all matters submitted to them for a vote.</w:t>
      </w:r>
    </w:p>
    <w:p>
      <w:pPr>
        <w:spacing w:after="0" w:line="185" w:lineRule="exact"/>
        <w:rPr>
          <w:sz w:val="20"/>
          <w:szCs w:val="20"/>
          <w:color w:val="auto"/>
        </w:rPr>
      </w:pPr>
    </w:p>
    <w:p>
      <w:pPr>
        <w:ind w:left="200" w:right="240" w:firstLine="434"/>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10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Ordinary shares beneficially owned prior to this offering</w:t>
            </w:r>
          </w:p>
        </w:tc>
        <w:tc>
          <w:tcPr>
            <w:tcW w:w="2820" w:type="dxa"/>
            <w:vAlign w:val="bottom"/>
            <w:gridSpan w:val="6"/>
          </w:tcPr>
          <w:p>
            <w:pPr>
              <w:jc w:val="center"/>
              <w:ind w:left="527"/>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410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immediately after this offering</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80" w:type="dxa"/>
            <w:vAlign w:val="bottom"/>
          </w:tcPr>
          <w:p>
            <w:pPr>
              <w:spacing w:after="0"/>
              <w:rPr>
                <w:sz w:val="9"/>
                <w:szCs w:val="9"/>
                <w:color w:val="auto"/>
              </w:rPr>
            </w:pPr>
          </w:p>
        </w:tc>
        <w:tc>
          <w:tcPr>
            <w:tcW w:w="1080" w:type="dxa"/>
            <w:vAlign w:val="bottom"/>
            <w:tcBorders>
              <w:top w:val="single" w:sz="8" w:color="auto"/>
            </w:tcBorders>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Pre-offering</w:t>
            </w:r>
          </w:p>
        </w:tc>
        <w:tc>
          <w:tcPr>
            <w:tcW w:w="1080" w:type="dxa"/>
            <w:vAlign w:val="bottom"/>
            <w:tcBorders>
              <w:top w:val="single" w:sz="8" w:color="auto"/>
            </w:tcBorders>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Pre-offering</w:t>
            </w:r>
          </w:p>
        </w:tc>
        <w:tc>
          <w:tcPr>
            <w:tcW w:w="10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9"/>
                <w:szCs w:val="9"/>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0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24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6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8"/>
                <w:szCs w:val="8"/>
                <w:b w:val="1"/>
                <w:bCs w:val="1"/>
                <w:color w:val="auto"/>
              </w:rPr>
              <w:t>†</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8"/>
                <w:szCs w:val="8"/>
                <w:b w:val="1"/>
                <w:bCs w:val="1"/>
                <w:color w:val="auto"/>
                <w:w w:val="99"/>
              </w:rPr>
              <w:t>†</w:t>
            </w:r>
          </w:p>
        </w:tc>
        <w:tc>
          <w:tcPr>
            <w:tcW w:w="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40"/>
        </w:trPr>
        <w:tc>
          <w:tcPr>
            <w:tcW w:w="328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Directors and Executive Officers</w:t>
            </w:r>
            <w:r>
              <w:rPr>
                <w:rFonts w:ascii="Times New Roman" w:cs="Times New Roman" w:eastAsia="Times New Roman" w:hAnsi="Times New Roman"/>
                <w:sz w:val="9"/>
                <w:szCs w:val="9"/>
                <w:b w:val="1"/>
                <w:bCs w:val="1"/>
                <w:color w:val="auto"/>
              </w:rPr>
              <w:t>†††</w:t>
            </w: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Peng Li</w:t>
            </w:r>
            <w:r>
              <w:rPr>
                <w:rFonts w:ascii="Times New Roman" w:cs="Times New Roman" w:eastAsia="Times New Roman" w:hAnsi="Times New Roman"/>
                <w:sz w:val="11"/>
                <w:szCs w:val="11"/>
                <w:color w:val="auto"/>
              </w:rPr>
              <w:t>(1)</w:t>
            </w:r>
          </w:p>
        </w:tc>
        <w:tc>
          <w:tcPr>
            <w:tcW w:w="1080" w:type="dxa"/>
            <w:vAlign w:val="bottom"/>
            <w:gridSpan w:val="2"/>
          </w:tcPr>
          <w:p>
            <w:pPr>
              <w:ind w:left="6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32.1</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82.5</w:t>
            </w:r>
          </w:p>
        </w:tc>
        <w:tc>
          <w:tcPr>
            <w:tcW w:w="22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30.2</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81.2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Jinshan Li</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2,687,958</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2,687,958</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Frank Lin</w:t>
            </w:r>
            <w:r>
              <w:rPr>
                <w:rFonts w:ascii="Times New Roman" w:cs="Times New Roman" w:eastAsia="Times New Roman" w:hAnsi="Times New Roman"/>
                <w:sz w:val="11"/>
                <w:szCs w:val="11"/>
                <w:color w:val="auto"/>
              </w:rPr>
              <w:t>(3)</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27,400,617</w:t>
            </w:r>
          </w:p>
        </w:tc>
        <w:tc>
          <w:tcPr>
            <w:tcW w:w="24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17.6</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4.5</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28,600,617</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17.3</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Dong Xie</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Xihao Liu</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Pei Hua (Helen) Wong</w:t>
            </w:r>
          </w:p>
        </w:tc>
        <w:tc>
          <w:tcPr>
            <w:tcW w:w="1080" w:type="dxa"/>
            <w:vAlign w:val="bottom"/>
            <w:gridSpan w:val="2"/>
            <w:shd w:val="clear" w:color="auto" w:fill="CCEEFF"/>
          </w:tcPr>
          <w:p>
            <w:pPr>
              <w:ind w:left="6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ind w:left="5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Hongqiang Zhao</w:t>
            </w:r>
          </w:p>
        </w:tc>
        <w:tc>
          <w:tcPr>
            <w:tcW w:w="1080" w:type="dxa"/>
            <w:vAlign w:val="bottom"/>
            <w:gridSpan w:val="2"/>
          </w:tcPr>
          <w:p>
            <w:pPr>
              <w:ind w:left="6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5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30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00" w:type="dxa"/>
            <w:vAlign w:val="bottom"/>
            <w:gridSpan w:val="2"/>
          </w:tcPr>
          <w:p>
            <w:pPr>
              <w:ind w:left="4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Chun Wang</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Guangfei Zhao</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Bo Bai</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Directors and executive officers as a group</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32,883,575</w:t>
            </w:r>
          </w:p>
        </w:tc>
        <w:tc>
          <w:tcPr>
            <w:tcW w:w="2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53.2</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87.1</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34,083,575</w:t>
            </w: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50.8</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Principal Shareholders:</w:t>
            </w: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Even Par Holding Limited</w:t>
            </w:r>
            <w:r>
              <w:rPr>
                <w:rFonts w:ascii="Times New Roman" w:cs="Times New Roman" w:eastAsia="Times New Roman" w:hAnsi="Times New Roman"/>
                <w:sz w:val="11"/>
                <w:szCs w:val="11"/>
                <w:color w:val="auto"/>
              </w:rPr>
              <w:t>(1)</w:t>
            </w:r>
          </w:p>
        </w:tc>
        <w:tc>
          <w:tcPr>
            <w:tcW w:w="1080" w:type="dxa"/>
            <w:vAlign w:val="bottom"/>
            <w:gridSpan w:val="2"/>
          </w:tcPr>
          <w:p>
            <w:pPr>
              <w:ind w:left="6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32.1</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82.5</w:t>
            </w:r>
          </w:p>
        </w:tc>
        <w:tc>
          <w:tcPr>
            <w:tcW w:w="22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49,859,049</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30.2</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81.2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K2 Entities</w:t>
            </w:r>
            <w:r>
              <w:rPr>
                <w:rFonts w:ascii="Times New Roman" w:cs="Times New Roman" w:eastAsia="Times New Roman" w:hAnsi="Times New Roman"/>
                <w:sz w:val="11"/>
                <w:szCs w:val="11"/>
                <w:color w:val="auto"/>
              </w:rPr>
              <w:t>(2)</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24,194,263</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15.6</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24,194,263</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14.6</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DCM Entities</w:t>
            </w:r>
            <w:r>
              <w:rPr>
                <w:rFonts w:ascii="Times New Roman" w:cs="Times New Roman" w:eastAsia="Times New Roman" w:hAnsi="Times New Roman"/>
                <w:sz w:val="11"/>
                <w:szCs w:val="11"/>
                <w:color w:val="auto"/>
              </w:rPr>
              <w:t>(3)</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27,400,617</w:t>
            </w:r>
          </w:p>
        </w:tc>
        <w:tc>
          <w:tcPr>
            <w:tcW w:w="24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17.6</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4.5</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28,600,617</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17.3</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GGV Entities</w:t>
            </w:r>
            <w:r>
              <w:rPr>
                <w:rFonts w:ascii="Times New Roman" w:cs="Times New Roman" w:eastAsia="Times New Roman" w:hAnsi="Times New Roman"/>
                <w:sz w:val="11"/>
                <w:szCs w:val="11"/>
                <w:color w:val="auto"/>
              </w:rPr>
              <w:t>(4)</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11,910,487</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11,910,487</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7.2</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PAC Entities</w:t>
            </w:r>
            <w:r>
              <w:rPr>
                <w:rFonts w:ascii="Times New Roman" w:cs="Times New Roman" w:eastAsia="Times New Roman" w:hAnsi="Times New Roman"/>
                <w:sz w:val="11"/>
                <w:szCs w:val="11"/>
                <w:color w:val="auto"/>
              </w:rPr>
              <w:t>(5)</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12,529,532</w:t>
            </w:r>
          </w:p>
        </w:tc>
        <w:tc>
          <w:tcPr>
            <w:tcW w:w="24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8.1</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12,529,532</w:t>
            </w:r>
          </w:p>
        </w:tc>
        <w:tc>
          <w:tcPr>
            <w:tcW w:w="240" w:type="dxa"/>
            <w:vAlign w:val="bottom"/>
          </w:tcPr>
          <w:p>
            <w:pPr>
              <w:spacing w:after="0"/>
              <w:rPr>
                <w:sz w:val="13"/>
                <w:szCs w:val="13"/>
                <w:color w:val="auto"/>
              </w:rPr>
            </w:pPr>
          </w:p>
        </w:tc>
        <w:tc>
          <w:tcPr>
            <w:tcW w:w="720" w:type="dxa"/>
            <w:vAlign w:val="bottom"/>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7.6</w:t>
            </w:r>
          </w:p>
        </w:tc>
        <w:tc>
          <w:tcPr>
            <w:tcW w:w="22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Qiming Entities</w:t>
            </w:r>
            <w:r>
              <w:rPr>
                <w:rFonts w:ascii="Times New Roman" w:cs="Times New Roman" w:eastAsia="Times New Roman" w:hAnsi="Times New Roman"/>
                <w:sz w:val="11"/>
                <w:szCs w:val="11"/>
                <w:color w:val="auto"/>
              </w:rPr>
              <w:t>(6)</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12,529,532</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8.1</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12,529,532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7.6</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VM EDU Fund I, L.P</w:t>
            </w:r>
            <w:r>
              <w:rPr>
                <w:rFonts w:ascii="Times New Roman" w:cs="Times New Roman" w:eastAsia="Times New Roman" w:hAnsi="Times New Roman"/>
                <w:sz w:val="11"/>
                <w:szCs w:val="11"/>
                <w:color w:val="auto"/>
              </w:rPr>
              <w:t>(7)</w:t>
            </w: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8,860,169</w:t>
            </w: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8,860,169</w:t>
            </w:r>
          </w:p>
        </w:tc>
        <w:tc>
          <w:tcPr>
            <w:tcW w:w="240" w:type="dxa"/>
            <w:vAlign w:val="bottom"/>
          </w:tcPr>
          <w:p>
            <w:pPr>
              <w:spacing w:after="0"/>
              <w:rPr>
                <w:sz w:val="17"/>
                <w:szCs w:val="17"/>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60"/>
          </w:cols>
          <w:pgMar w:left="320" w:top="452" w:right="5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294640</wp:posOffset>
            </wp:positionV>
            <wp:extent cx="7512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1"/>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our total outstanding shares on an as converted basis.</w:t>
      </w:r>
    </w:p>
    <w:p>
      <w:pPr>
        <w:spacing w:after="0" w:line="25" w:lineRule="exact"/>
        <w:rPr>
          <w:sz w:val="20"/>
          <w:szCs w:val="20"/>
          <w:color w:val="auto"/>
        </w:rPr>
      </w:pPr>
    </w:p>
    <w:p>
      <w:pPr>
        <w:ind w:left="620" w:hanging="421"/>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preferred shares held by shareholders of the Company will be re-classified and redesignated as Class A ordinary shares on a one-on-one</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basis immediately prior to the completion of this offering.</w:t>
      </w:r>
    </w:p>
    <w:p>
      <w:pPr>
        <w:spacing w:after="0" w:line="6" w:lineRule="exact"/>
        <w:rPr>
          <w:sz w:val="20"/>
          <w:szCs w:val="20"/>
          <w:color w:val="auto"/>
        </w:rPr>
      </w:pPr>
    </w:p>
    <w:p>
      <w:pPr>
        <w:ind w:left="620" w:hanging="421"/>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w:t>
      </w:r>
    </w:p>
    <w:p>
      <w:pPr>
        <w:spacing w:after="0" w:line="6" w:lineRule="exact"/>
        <w:rPr>
          <w:sz w:val="20"/>
          <w:szCs w:val="20"/>
          <w:color w:val="auto"/>
        </w:rPr>
      </w:pPr>
    </w:p>
    <w:p>
      <w:pPr>
        <w:ind w:left="620" w:right="120"/>
        <w:spacing w:after="0" w:line="246" w:lineRule="auto"/>
        <w:rPr>
          <w:sz w:val="20"/>
          <w:szCs w:val="20"/>
          <w:color w:val="auto"/>
        </w:rPr>
      </w:pPr>
      <w:r>
        <w:rPr>
          <w:rFonts w:ascii="Times New Roman" w:cs="Times New Roman" w:eastAsia="Times New Roman" w:hAnsi="Times New Roman"/>
          <w:sz w:val="18"/>
          <w:szCs w:val="18"/>
          <w:color w:val="auto"/>
        </w:rPr>
        <w:t>such person or group by the sum of the total number of shares outstanding and the number of shares such person or group has the right to acquire upon exercise of option, warrant or other right within 60 days after the date of this prospectus.</w:t>
      </w:r>
    </w:p>
    <w:p>
      <w:pPr>
        <w:spacing w:after="0" w:line="1" w:lineRule="exact"/>
        <w:rPr>
          <w:sz w:val="20"/>
          <w:szCs w:val="20"/>
          <w:color w:val="auto"/>
        </w:rPr>
      </w:pPr>
    </w:p>
    <w:p>
      <w:pPr>
        <w:ind w:left="620" w:right="20" w:hanging="421"/>
        <w:spacing w:after="0" w:line="246" w:lineRule="auto"/>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As of the date of this prospectus, holder of each of our pre-offering Class A ordinary shares is entitled to one vote per share and holder of each of our pre-offering Class B ordinary shares is entitled to ten votes. Immediately after this offering, holder of each of our Class A ordinary shares is entitled to one vote per share. Holder of each of our Class B ordinary shares is entitled to ten votes per share. Our Class B ordinary shares are convertible at any time by the holder into Class A ordinary shares on a one-for-one basis, while Class A ordinary shares are not convertible into</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Class B ordinary shares under any circumstances.</w:t>
      </w:r>
    </w:p>
    <w:p>
      <w:pPr>
        <w:spacing w:after="0" w:line="6" w:lineRule="exact"/>
        <w:rPr>
          <w:sz w:val="20"/>
          <w:szCs w:val="20"/>
          <w:color w:val="auto"/>
        </w:rPr>
      </w:pPr>
    </w:p>
    <w:p>
      <w:pPr>
        <w:ind w:left="620" w:right="220" w:hanging="419"/>
        <w:spacing w:after="0" w:line="246" w:lineRule="auto"/>
        <w:tabs>
          <w:tab w:leader="none" w:pos="600" w:val="left"/>
        </w:tabs>
        <w:rPr>
          <w:sz w:val="20"/>
          <w:szCs w:val="20"/>
          <w:color w:val="auto"/>
        </w:rPr>
      </w:pPr>
      <w:r>
        <w:rPr>
          <w:rFonts w:ascii="Times New Roman" w:cs="Times New Roman" w:eastAsia="Times New Roman" w:hAnsi="Times New Roman"/>
          <w:sz w:val="18"/>
          <w:szCs w:val="18"/>
          <w:color w:val="auto"/>
        </w:rPr>
        <w:t>†††</w:t>
        <w:tab/>
        <w:t>Except as indicated otherwise below, the business address of our directors and executive officers is Room 710, 5/F, Building No. 1, Zone No. 1, Ronghe Road, Chaoyang District, Beijing, People’s Republic of China.</w:t>
      </w:r>
    </w:p>
    <w:p>
      <w:pPr>
        <w:spacing w:after="0" w:line="1" w:lineRule="exact"/>
        <w:rPr>
          <w:sz w:val="20"/>
          <w:szCs w:val="20"/>
          <w:color w:val="auto"/>
        </w:rPr>
      </w:pPr>
    </w:p>
    <w:p>
      <w:pPr>
        <w:ind w:left="620" w:right="20" w:hanging="421"/>
        <w:spacing w:after="0" w:line="246"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49,859,049 Class B ordinary shares held by Even Par Holding Limited, a company incorporated in the British Virgin Islands. Even Par Holding Limited is controlled by NICE PAR TRUST, a trust established under a trust deed between Mr. Peng Li as settlor and Vistra Trust (Singapore) Pte. Limited as trustee. Mr. Peng Li is the settlor and the sole beneficiary of NICE PAR TRUST. Under the terms of the trust deed of this trust, Mr. Peng Li has the power to direct the trustee with respect to the retention or disposal of, and the exercise of any voting and other rights attached to, the shares held by Even Par Holdings Limited in QuantaSing Group Limited. Mr. Peng Li is the sole director of Even Par Holdings Limited. The registered address of Even Par Holdings Limited is at the offices of Sertus Chambers, P.O. Box 905, Quastisky Building, Road Town, Tortola, British Virgin Islands. All the pre-offering Class B ordinary shares held by Even Par Holdings Limited will be automatically converted to Class B ordinary shares on a one-on-one basis immediately prior to the completion of this offering.</w:t>
      </w:r>
    </w:p>
    <w:p>
      <w:pPr>
        <w:spacing w:after="0" w:line="4" w:lineRule="exact"/>
        <w:rPr>
          <w:rFonts w:ascii="Times New Roman" w:cs="Times New Roman" w:eastAsia="Times New Roman" w:hAnsi="Times New Roman"/>
          <w:sz w:val="18"/>
          <w:szCs w:val="18"/>
          <w:color w:val="auto"/>
        </w:rPr>
      </w:pPr>
    </w:p>
    <w:p>
      <w:pPr>
        <w:ind w:left="620" w:right="80" w:hanging="421"/>
        <w:spacing w:after="0" w:line="246"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3,300,000 Series A preferred shares held by K2 EVERGREEN PARTNERS LIMITED, a company incorporated in Hong Kong, which is wholly-owned by K2 Evergreen Partners L.P., the general partner of which is K2 Evergreen Partners LLC; (ii) 4,675,000 Series A preferred shares, 416,668 Series B preferred shares and 131,898 Series C preferred shares held by K2 FAMILY PARTNERS LIMITED, a company incorporated in Hong Kong, which is wholly-owned by K2 Family Partners L.P. The general partner of K2 Family Partners L.P. is K2 Family Partners GP, L.P., the general partner of which is K2 Family Partners GP, LLC; and (iii) 14,025,000 Series A preferred shares, 1,250,003 Series B preferred shares and 395,694 Series C preferred shares held by K2 PARTNERS III LIMITED, a company incorporated in Hong Kong, which is wholly-owned by K2 Partners III L.P. The general partner of K2 Partners III L.P. is K2 Partners III GP, L.P., the general partner of which is K2 Partners III GP, LLC. KPartners Limited holds (i) 80% equity and voting power of K2 Evergreen Partners LLC; (ii) 51% equity and voting power of K2 Family Partners GP, LLC; and (iii) 51% equity and voting power of K2 Partners III GP, LLC. The registered address of the K2 entities is Room C, 20/F, Lucky Plaza, 315-321 Lockhart Road, Wanchai, Hong Kong.</w:t>
      </w:r>
    </w:p>
    <w:p>
      <w:pPr>
        <w:spacing w:after="0" w:line="5" w:lineRule="exact"/>
        <w:rPr>
          <w:rFonts w:ascii="Times New Roman" w:cs="Times New Roman" w:eastAsia="Times New Roman" w:hAnsi="Times New Roman"/>
          <w:sz w:val="18"/>
          <w:szCs w:val="18"/>
          <w:color w:val="auto"/>
        </w:rPr>
      </w:pPr>
    </w:p>
    <w:p>
      <w:pPr>
        <w:ind w:left="620" w:hanging="421"/>
        <w:spacing w:after="0" w:line="248"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20,153,473 Series B preferred shares and 4,590,654 Series C preferred shares held by DCM Ventures China Fund (DCM VIII), L.P., an exempted limited partnership organized under the laws of the Cayman Islands; (ii) 1,667,089 Series B preferred share and 379,737 Series C preferred shares held by DCM VIII, L.P., an exempted limited partnership organized under the laws of the Cayman Islands; and (iii) 496,556 Series B preferred shares and 113,108 Series C preferred shares held by DCM Affiliates Fund VIII, L.P., an exempted limited partnership organized under the laws of the Cayman Islands. The number of Class A ordinary shares beneficially owned by DCM entities immediately after this offering also include 1,200,000 Class A ordinary shares represented by 400,000 ADSs subscribed by and allocated to the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40"/>
          </w:cols>
          <w:pgMar w:left="320" w:top="452" w:right="5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7"/>
          <w:szCs w:val="17"/>
          <w:color w:val="auto"/>
        </w:rPr>
        <w:t>aforementioned entities at the initial public offering price and on the same terms as the other ADSs being offered. The general partner of each of these DCM entities is DCM Investment Management VIII, L.P., the general partner of which is DCM International VIII, Ltd., which is ultimately controlled by Matthew C. Bonner and Frank Lin, a director of our company, and each may be deemed to share voting and dispositive power over the shares held by the DCM entities. Each of the foregoing persons disclaims beneficial ownership of shares held by the DCM entities, except to the extent of any pecuniary interest therein. The registered address of the DCM entities is 2420 Sand Hill Road, Suite 200, Menlo Park, CA 94025.</w:t>
      </w:r>
    </w:p>
    <w:p>
      <w:pPr>
        <w:spacing w:after="0" w:line="4" w:lineRule="exact"/>
        <w:rPr>
          <w:sz w:val="20"/>
          <w:szCs w:val="20"/>
          <w:color w:val="auto"/>
        </w:rPr>
      </w:pPr>
    </w:p>
    <w:p>
      <w:pPr>
        <w:ind w:left="620" w:right="40" w:hanging="421"/>
        <w:spacing w:after="0" w:line="24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6,322,377 Series B-1 preferred shares, 3,893,097 Series C preferred shares, 793,126 Series D preferred shares and 409,719 Series E preferred shares held by GGV Discovery I, L.P., an exempted limited partnership organized under the laws of the Cayman Islands, which is ultimately controlled by six individuals, including Jixun Foo, Jenny Hongwei Lee, Jeffrey Gordon Richards, Glenn Brian Solomon, Hans Tung and Bingdong Xu, who have the shared voting and investment control over the shares held by such entity; and (ii) 272,516 Series B-1 preferred shares, 167,806 Series C preferred shares, 34,186 Series D preferred shares and 17,660 Series E preferred shares held by GGV Capital VI Entrepreneurs Fund L.P., an exempted limited partnership organized under the laws of the Cayman Islands, which is ultimately controlled by five individuals, including Jixun Foo, Jenny Hongwei Lee, Jeffrey Gordon Richards, Glenn Brian Solomon and Hans Tung, who have the shared voting and investment control over the shares held by such entity. The business address of all the GGV entities is 3000 Sand Hill Road, Building 4, Suite 230, Menlo Park, CA 94025.</w:t>
      </w:r>
    </w:p>
    <w:p>
      <w:pPr>
        <w:spacing w:after="0" w:line="5" w:lineRule="exact"/>
        <w:rPr>
          <w:rFonts w:ascii="Times New Roman" w:cs="Times New Roman" w:eastAsia="Times New Roman" w:hAnsi="Times New Roman"/>
          <w:sz w:val="18"/>
          <w:szCs w:val="18"/>
          <w:color w:val="auto"/>
        </w:rPr>
      </w:pPr>
    </w:p>
    <w:p>
      <w:pPr>
        <w:ind w:left="620" w:hanging="421"/>
        <w:spacing w:after="0" w:line="24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1,318,979 Series B-1 preferred shares held by Prospect Avenue Capital Inc., an exempted company incorporated in the Cayman Islands; (ii) 10,164,129 Series D preferred shares held by Prospect Avenue Capital Limited Partnership, an exempted limited partnership organized under the laws of the Cayman Islands; and (iii) 1,046,424 Series E preferred shares held by Foley Square Investment Limited., a company incorporated in Hong Kong. Each of Prospect Avenue Capital Inc., Prospect Avenue Capital Limited Partnership and Foley Square Investment Limited (collectively, “PAC entities”) is ultimately controlled by Ming Liao. The business address of all the PAC entities is Room No. 2524-2525, 25/F, Sun Hung Kai Centre, 30 Harbour Road, Wanchai, Hong Kong.</w:t>
      </w:r>
    </w:p>
    <w:p>
      <w:pPr>
        <w:spacing w:after="0" w:line="3" w:lineRule="exact"/>
        <w:rPr>
          <w:rFonts w:ascii="Times New Roman" w:cs="Times New Roman" w:eastAsia="Times New Roman" w:hAnsi="Times New Roman"/>
          <w:sz w:val="18"/>
          <w:szCs w:val="18"/>
          <w:color w:val="auto"/>
        </w:rPr>
      </w:pPr>
    </w:p>
    <w:p>
      <w:pPr>
        <w:ind w:left="620" w:right="20" w:hanging="421"/>
        <w:spacing w:after="0" w:line="24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10,376,581 Series C preferred shares, 805,635 Series D preferred shares and 1,019,005 Series E preferred shares held by Qiming Venture Partners VI, L.P., an exempted limited partnership organized under the laws of the Cayman Islands; and (ii) 279,214 Series C preferred shares, 21,678 Series D preferred shares and 27,419 Series E preferred shares held by Qiming Managing Directors Fund VI, L.P., an exempted limited partnership organized under the laws of the Cayman Islands. The general partner of Qiming Venture Partners VI, L.P. is Qiming GP VI, L.P., a Cayman Islands exempted limited partnership, whose general partner is Qiming Corporate GP VI, Ltd., a Cayman Islands limited company. Qiming Corporate GP VI, Ltd. is also the general partner of Qiming Managing Directors Fund VI, L.P. The voting and investment power of the shares held by Qiming Venture Partners VI, L.P. and Qiming Managing Directors Fund VI, L.P. in the company is exercised by Qiming Corporate GP VI, Ltd., which is beneficially owned by Duane Kuang, Gary Rieschel, Nisa Leung and Robert Headley. Duane Kuang, Gary Rieschel, Nisa Leung and Robert Headley disclaim beneficial ownership of such shares, except to the extent of any pecuniary interest therein. The registered address of Qiming entities is P.O. Box 309, Ugland House, Grand Cayman KY1-1104, Cayman Islands.</w:t>
      </w:r>
    </w:p>
    <w:p>
      <w:pPr>
        <w:spacing w:after="0" w:line="5" w:lineRule="exact"/>
        <w:rPr>
          <w:rFonts w:ascii="Times New Roman" w:cs="Times New Roman" w:eastAsia="Times New Roman" w:hAnsi="Times New Roman"/>
          <w:sz w:val="18"/>
          <w:szCs w:val="18"/>
          <w:color w:val="auto"/>
        </w:rPr>
      </w:pPr>
    </w:p>
    <w:p>
      <w:pPr>
        <w:ind w:left="620" w:right="20" w:hanging="421"/>
        <w:spacing w:after="0" w:line="250"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8,860,169 Series E preferred shares held by VM EDU Fund I, L.P., an exempted limited partnership organized under the laws of the Cayman Islands. The general partner of VM EDU Fund I, L.P. is VM EDU Fund GP, LLC. The registered address of VM EDU Fund I, L.P. is P.O. Box 309, Ugland House, Grand Cayman, KY1-1104, Cayman Islands.</w:t>
      </w:r>
    </w:p>
    <w:p>
      <w:pPr>
        <w:spacing w:after="0" w:line="185" w:lineRule="exact"/>
        <w:rPr>
          <w:sz w:val="20"/>
          <w:szCs w:val="20"/>
          <w:color w:val="auto"/>
        </w:rPr>
      </w:pPr>
    </w:p>
    <w:p>
      <w:pPr>
        <w:ind w:left="200" w:right="360" w:firstLine="434"/>
        <w:spacing w:after="0" w:line="275" w:lineRule="auto"/>
        <w:rPr>
          <w:sz w:val="20"/>
          <w:szCs w:val="20"/>
          <w:color w:val="auto"/>
        </w:rPr>
      </w:pPr>
      <w:r>
        <w:rPr>
          <w:rFonts w:ascii="Times New Roman" w:cs="Times New Roman" w:eastAsia="Times New Roman" w:hAnsi="Times New Roman"/>
          <w:sz w:val="18"/>
          <w:szCs w:val="18"/>
          <w:color w:val="auto"/>
        </w:rPr>
        <w:t>As of the date of this prospectus, to our knowledge, none of our pre-offering Class A ordinary shares, pre-offering Class B shares or preferred shares are held by record holders in the United States.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40"/>
          </w:cols>
          <w:pgMar w:left="320" w:top="452" w:right="5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Historical Changes in Our Shareholding</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“Description of Share Capital — History of Securities Issuances” for historical changes in our shareholding.</w:t>
      </w:r>
    </w:p>
    <w:p>
      <w:pPr>
        <w:spacing w:after="0" w:line="1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139"/>
          </w:cols>
          <w:pgMar w:left="320" w:top="452"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 and Its Shareholder</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Transaction with Certain Related Parties</w:t>
      </w:r>
    </w:p>
    <w:p>
      <w:pPr>
        <w:spacing w:after="0" w:line="114" w:lineRule="exact"/>
        <w:rPr>
          <w:sz w:val="20"/>
          <w:szCs w:val="20"/>
          <w:color w:val="auto"/>
        </w:rPr>
      </w:pPr>
    </w:p>
    <w:p>
      <w:pPr>
        <w:ind w:left="200" w:right="140" w:firstLine="434"/>
        <w:spacing w:after="0" w:line="275" w:lineRule="auto"/>
        <w:rPr>
          <w:sz w:val="20"/>
          <w:szCs w:val="20"/>
          <w:color w:val="auto"/>
        </w:rPr>
      </w:pPr>
      <w:r>
        <w:rPr>
          <w:rFonts w:ascii="Times New Roman" w:cs="Times New Roman" w:eastAsia="Times New Roman" w:hAnsi="Times New Roman"/>
          <w:sz w:val="18"/>
          <w:szCs w:val="18"/>
          <w:color w:val="auto"/>
        </w:rPr>
        <w:t>In the fiscal years ended June 30, 2021 and 2022 and the three months ended September 30, 2021 and 2022, we entered into certain related party transactions as set forth below.</w:t>
      </w:r>
    </w:p>
    <w:p>
      <w:pPr>
        <w:spacing w:after="0" w:line="162" w:lineRule="exact"/>
        <w:rPr>
          <w:sz w:val="20"/>
          <w:szCs w:val="20"/>
          <w:color w:val="auto"/>
        </w:rPr>
      </w:pPr>
    </w:p>
    <w:p>
      <w:pPr>
        <w:ind w:left="200" w:right="18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Marketing services to Beijing Baichuan. </w:t>
      </w:r>
      <w:r>
        <w:rPr>
          <w:rFonts w:ascii="Times New Roman" w:cs="Times New Roman" w:eastAsia="Times New Roman" w:hAnsi="Times New Roman"/>
          <w:sz w:val="18"/>
          <w:szCs w:val="18"/>
          <w:color w:val="auto"/>
        </w:rPr>
        <w:t>We provide marketing services to Beijing Baichuan Insurance Brokerage Limited to facilitate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acquisition efforts. Beijing Baichuan paid to us service fees based on the volume of customers acquired through our platforms. Beijing Baichuan is the subsidiary of Beijing ChangYou Star Network Technology Co., Ltd., which has been disposed of to an affiliate of our company under the common control of the shareholders of our company in May 2022. Since then, the transactions between Beijing Baichuan and us constitute related party transactions. For the fiscal year ended June 30, 2022 and the three months ended September 30, 2022, we recorded a total of RMB44.7 million (US$6.3 million) and RMB30.3 million (US$4.3 million) services fees from Beijing Baichuan as revenue. As of September 30, 2022, the amount due from Beijing Baichuan in relation to such service fee was RMB24.9 million (US$3.5 million). We expect to continue to provide marketing services to Beijing Baichuan, which has been and will be based on normal terms and conditions and fair and reasonable.</w:t>
      </w:r>
    </w:p>
    <w:p>
      <w:pPr>
        <w:spacing w:after="0" w:line="183" w:lineRule="exact"/>
        <w:rPr>
          <w:sz w:val="20"/>
          <w:szCs w:val="20"/>
          <w:color w:val="auto"/>
        </w:rPr>
      </w:pPr>
    </w:p>
    <w:p>
      <w:pPr>
        <w:ind w:left="2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Restructuring related transactions. </w:t>
      </w:r>
      <w:r>
        <w:rPr>
          <w:rFonts w:ascii="Times New Roman" w:cs="Times New Roman" w:eastAsia="Times New Roman" w:hAnsi="Times New Roman"/>
          <w:sz w:val="18"/>
          <w:szCs w:val="18"/>
          <w:color w:val="auto"/>
        </w:rPr>
        <w:t>We have restructured and spun-off our business for this initial public offering. See “Corporate History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more information. The proceeds due to EW Technology Limited in connection with this restructuring were fully settled in May 2022 upon the completion of this restructuring.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“Description of Share Capital — Shareholders Agreement.”</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“Management — Share Incentive Plans.”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“Management — Employment Agreements” and “Management — Indemnification Agreements.”</w:t>
      </w:r>
    </w:p>
    <w:p>
      <w:pPr>
        <w:spacing w:after="0" w:line="1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320" w:top="452" w:right="5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4"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(As Revised) of the Cayman Islands, which we refer to as the Companies Act below, and the common law of the Cayman Islands.</w:t>
      </w:r>
    </w:p>
    <w:p>
      <w:pPr>
        <w:spacing w:after="0" w:line="176" w:lineRule="exact"/>
        <w:rPr>
          <w:sz w:val="20"/>
          <w:szCs w:val="20"/>
          <w:color w:val="auto"/>
        </w:rPr>
      </w:pPr>
    </w:p>
    <w:p>
      <w:pPr>
        <w:ind w:left="200" w:right="80" w:firstLine="434"/>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US$70,000 consisting of 700,000,000 shares, divided into: (1) 545,113,731 pre-offering Class A ordinary shares, (2) 54,042,638 pre-offering Class B ordinary shares, (3) 22,000,000 Series A preferred shares, (4) 23,983,789 Series B preferred shares, (5) 7,913,872 Series B-1 preferred shares, (6) 20,327,789 Series C preferred shares, (7) 11,818,754 Series D preferred shares, and (8) 14,799,427 Series E preferred shares. As of the date of this prospectus, (1) 4,783,589 pre-offering Class A ordinary shares, (2) 49,859,049 pre-offering Class B ordinary shares, (3) 22,000,000 Series A preferred shares, (4) 23,983,789 Series B preferred shares, (5) 7,913,872 Series B-1 preferred shares, (6) 20,327,789 Series C preferred shares, (7) 11,818,754 Series D preferred shares, and (8) 14,799,427 Series E preferred shares are issued and outstanding. All of our issued and outstanding ordinary and preferred shares are fully paid.</w:t>
      </w:r>
    </w:p>
    <w:p>
      <w:pPr>
        <w:spacing w:after="0" w:line="187" w:lineRule="exact"/>
        <w:rPr>
          <w:sz w:val="20"/>
          <w:szCs w:val="20"/>
          <w:color w:val="auto"/>
        </w:rPr>
      </w:pPr>
    </w:p>
    <w:p>
      <w:pPr>
        <w:ind w:left="200" w:firstLine="434"/>
        <w:spacing w:after="0" w:line="267"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US$70,000 consisting of 700,000,000 shares, divided into: (1) 430,000,000 Class A ordinary shares of a par value of US$0.0001 each, (2) 70,000,000 Class B ordinary shares of a par value of US$0.0001 each, and (3) 200,000,000 shares of a par value of US$0.0001 each of such class or classes (however designated) as the board of directors may determine in accordance with our post-offering memorandum and articles of association. Immediately prior to the completion of this offering, all of our issued and outstanding preferred shares and ordinary shares will be converted into, and re-designated and re-classified, as Class A ordinary shares on a one-for-one basis, except that 49,859,049 shares beneficially owned by Mr. Peng Li will be re-designated and re-classified as Class B ordinary shares on a one-for-one basis. Following such conversion and re-designation, we will have 115,377,220 Class A ordinary shares issued and outstanding and 49,859,049 Class B ordinary shares issued and outstanding, assuming the underwriters do not exercise their option to purchase additional ADSs.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Post-Offering Memorandum and Articles of Association</w:t>
      </w:r>
    </w:p>
    <w:p>
      <w:pPr>
        <w:spacing w:after="0" w:line="114" w:lineRule="exact"/>
        <w:rPr>
          <w:sz w:val="20"/>
          <w:szCs w:val="20"/>
          <w:color w:val="auto"/>
        </w:rPr>
      </w:pPr>
    </w:p>
    <w:p>
      <w:pPr>
        <w:ind w:left="200" w:right="140" w:firstLine="434"/>
        <w:spacing w:after="0" w:line="256" w:lineRule="auto"/>
        <w:rPr>
          <w:sz w:val="20"/>
          <w:szCs w:val="20"/>
          <w:color w:val="auto"/>
        </w:rPr>
      </w:pPr>
      <w:r>
        <w:rPr>
          <w:rFonts w:ascii="Times New Roman" w:cs="Times New Roman" w:eastAsia="Times New Roman" w:hAnsi="Times New Roman"/>
          <w:sz w:val="18"/>
          <w:szCs w:val="18"/>
          <w:color w:val="auto"/>
        </w:rPr>
        <w:t>Our shareholders have conditionally adopted the second amended and restated memorandum and articles of association, which we refer to below as our post-offering memorandum and articles of association and which will become effective and replace our current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79" w:lineRule="exact"/>
        <w:rPr>
          <w:sz w:val="20"/>
          <w:szCs w:val="20"/>
          <w:color w:val="auto"/>
        </w:rPr>
      </w:pPr>
    </w:p>
    <w:p>
      <w:pPr>
        <w:ind w:left="200" w:right="32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post-offering memorandum and articles of association, the objects of our company are unrestricted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full power and authority to carry out any object not prohibited by the laws of the Cayman Islands.</w:t>
      </w:r>
    </w:p>
    <w:p>
      <w:pPr>
        <w:spacing w:after="0" w:line="160" w:lineRule="exact"/>
        <w:rPr>
          <w:sz w:val="20"/>
          <w:szCs w:val="20"/>
          <w:color w:val="auto"/>
        </w:rPr>
      </w:pPr>
    </w:p>
    <w:p>
      <w:pPr>
        <w:ind w:left="200" w:right="10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issued in registered form. We may not issue shares to bearer. Our shareholders who are non-residents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Cayman Islands may freely hold and vote their shares.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 Our ordinary shares are issued in registered form and are issued when registered in our register of members.</w:t>
      </w:r>
    </w:p>
    <w:p>
      <w:pPr>
        <w:spacing w:after="0" w:line="185" w:lineRule="exact"/>
        <w:rPr>
          <w:sz w:val="20"/>
          <w:szCs w:val="20"/>
          <w:color w:val="auto"/>
        </w:rPr>
      </w:pPr>
    </w:p>
    <w:p>
      <w:pPr>
        <w:ind w:left="200" w:right="1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by the holder thereof.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convertible into Class B ordinary shares under any circumstances.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40"/>
          </w:cols>
          <w:pgMar w:left="320" w:top="452" w:right="5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49" w:lineRule="auto"/>
        <w:rPr>
          <w:sz w:val="20"/>
          <w:szCs w:val="20"/>
          <w:color w:val="auto"/>
        </w:rPr>
      </w:pPr>
      <w:r>
        <w:rPr>
          <w:rFonts w:ascii="Times New Roman" w:cs="Times New Roman" w:eastAsia="Times New Roman" w:hAnsi="Times New Roman"/>
          <w:sz w:val="18"/>
          <w:szCs w:val="18"/>
          <w:color w:val="auto"/>
        </w:rPr>
        <w:t>Any number of Class B ordinary shares held by a holder thereof will be automatically and immediately converted into an equal number of Class A ordinary shares upon the occurrence of (1) any sale, transfer, assignment or disposition of any Class B ordinary shares by the holder thereof to any person that is not Mr. Peng Li or his controlled entity, or (2) upon a change of ultimate beneficial ownership of any Class B ordinary share to any person that is not Mr. Peng Li or his controlled entity. In addition, all outstanding Class B ordinary shares will automatically convert into Class A ordinary shares upon the first to occur of: (1) the death or incapacity of Mr. Peng Li; (2) the date that Mr. Peng Li is no longer employed as our chief executive officer for cause; (3) if Mr. Peng Li was not employed as our chief executive officer for at least five years following the consummation of this offering, the date when he is no longer employed as our chief executive officer; and (4) if Mr. Peng Li was employed as our chief executive officer for at least five years following the consummation of this offering, the earlier of: (a) the date Mr. Peng Li ceases to be employed as our chief executive officer and ceases to be a member of our board of directors; and (b) if Mr. Peng Li continues to be a member of our board of directors, the second anniversary after Mr. Peng Li ceases to be employed as our chief executive officer without regard to whether he is a member of our board of directors on such second anniversary.</w:t>
      </w:r>
    </w:p>
    <w:p>
      <w:pPr>
        <w:spacing w:after="0" w:line="189" w:lineRule="exact"/>
        <w:rPr>
          <w:sz w:val="20"/>
          <w:szCs w:val="20"/>
          <w:color w:val="auto"/>
        </w:rPr>
      </w:pPr>
    </w:p>
    <w:p>
      <w:pPr>
        <w:ind w:left="200" w:right="26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post-offering memorandum and articles of association provide that dividends may be declared and paid out of our lawfully available funds.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85" w:lineRule="exact"/>
        <w:rPr>
          <w:sz w:val="20"/>
          <w:szCs w:val="20"/>
          <w:color w:val="auto"/>
        </w:rPr>
      </w:pPr>
    </w:p>
    <w:p>
      <w:pPr>
        <w:ind w:left="200" w:right="12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Voting at any meeting of shareholders is by show of hands unless a poll is demanded. A poll may be demanded by the chairperson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meeting or any one shareholder present in person or by proxy. With respect to all matters subject to a shareholders’ vote, each Class A ordinary share is entitled to one vote, and each Class B ordinary share is entitled to ten votes, voting together as one class on all matters submitted to a vote by our shareholders at any general meeting.</w:t>
      </w:r>
    </w:p>
    <w:p>
      <w:pPr>
        <w:spacing w:after="0" w:line="179"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a change of name or making changes to our post-offering memorandum and articles of association. Our shareholders may, among other things, divide or combine their shares by ordinary resolution.</w:t>
      </w:r>
    </w:p>
    <w:p>
      <w:pPr>
        <w:spacing w:after="0" w:line="183" w:lineRule="exact"/>
        <w:rPr>
          <w:sz w:val="20"/>
          <w:szCs w:val="20"/>
          <w:color w:val="auto"/>
        </w:rPr>
      </w:pPr>
    </w:p>
    <w:p>
      <w:pPr>
        <w:ind w:left="200" w:right="3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9"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a majority of our board of directors (acting by a resolution of our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 present in person or by proxy, representing not less than one-third of all votes attaching to our issued and outstanding shares entitled to attend and vote at the general meeting.</w:t>
      </w:r>
    </w:p>
    <w:p>
      <w:pPr>
        <w:spacing w:after="0" w:line="185"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20"/>
          </w:cols>
          <w:pgMar w:left="320" w:top="452" w:right="5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0"/>
        <w:spacing w:after="0" w:line="253" w:lineRule="auto"/>
        <w:rPr>
          <w:sz w:val="20"/>
          <w:szCs w:val="20"/>
          <w:color w:val="auto"/>
        </w:rPr>
      </w:pPr>
      <w:r>
        <w:rPr>
          <w:rFonts w:ascii="Times New Roman" w:cs="Times New Roman" w:eastAsia="Times New Roman" w:hAnsi="Times New Roman"/>
          <w:sz w:val="18"/>
          <w:szCs w:val="18"/>
          <w:color w:val="auto"/>
        </w:rPr>
        <w:t>association provide that upon the requisition of any one or more of our shareholders who together hold shares which carry in aggregate not less than 10% of all votes attaching to the issued and outstanding shares of our company entitled to attend and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ind w:left="200" w:right="2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post-offering memorandum and articles of association as set out below,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shareholders may transfer all or any of her or his ordinary shares by an instrument of transfer in the usual or common form or any other form approved by our board of directors.</w:t>
      </w:r>
    </w:p>
    <w:p>
      <w:pPr>
        <w:spacing w:after="0" w:line="175"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1" w:lineRule="exact"/>
        <w:rPr>
          <w:sz w:val="20"/>
          <w:szCs w:val="20"/>
          <w:color w:val="auto"/>
        </w:rPr>
      </w:pPr>
    </w:p>
    <w:p>
      <w:pPr>
        <w:ind w:left="1160" w:right="540" w:hanging="429"/>
        <w:spacing w:after="0" w:line="275" w:lineRule="auto"/>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25" w:lineRule="exact"/>
        <w:rPr>
          <w:rFonts w:ascii="Times New Roman" w:cs="Times New Roman" w:eastAsia="Times New Roman" w:hAnsi="Times New Roman"/>
          <w:sz w:val="18"/>
          <w:szCs w:val="18"/>
          <w:color w:val="auto"/>
        </w:rPr>
      </w:pPr>
    </w:p>
    <w:p>
      <w:pPr>
        <w:ind w:left="1160" w:right="180" w:hanging="429"/>
        <w:spacing w:after="0" w:line="275" w:lineRule="auto"/>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70" w:lineRule="exact"/>
        <w:rPr>
          <w:rFonts w:ascii="Times New Roman" w:cs="Times New Roman" w:eastAsia="Times New Roman" w:hAnsi="Times New Roman"/>
          <w:sz w:val="18"/>
          <w:szCs w:val="18"/>
          <w:color w:val="auto"/>
        </w:rPr>
      </w:pPr>
    </w:p>
    <w:p>
      <w:pPr>
        <w:ind w:left="1160" w:hanging="429"/>
        <w:spacing w:after="0" w:line="275" w:lineRule="auto"/>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4" w:lineRule="exact"/>
        <w:rPr>
          <w:sz w:val="20"/>
          <w:szCs w:val="20"/>
          <w:color w:val="auto"/>
        </w:rPr>
      </w:pPr>
    </w:p>
    <w:p>
      <w:pPr>
        <w:ind w:left="200" w:right="220" w:firstLine="434"/>
        <w:spacing w:after="0" w:line="275"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4"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4" w:lineRule="exact"/>
        <w:rPr>
          <w:sz w:val="20"/>
          <w:szCs w:val="20"/>
          <w:color w:val="auto"/>
        </w:rPr>
      </w:pPr>
    </w:p>
    <w:p>
      <w:pPr>
        <w:jc w:val="both"/>
        <w:ind w:left="200" w:right="40" w:firstLine="43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On the winding up of our company, if the assets available for distribution amongst our shareholders shall be more than sufficient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69" w:lineRule="exact"/>
        <w:rPr>
          <w:sz w:val="20"/>
          <w:szCs w:val="20"/>
          <w:color w:val="auto"/>
        </w:rPr>
      </w:pPr>
    </w:p>
    <w:p>
      <w:pPr>
        <w:jc w:val="both"/>
        <w:ind w:left="200" w:right="22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jc w:val="both"/>
        <w:ind w:left="200" w:right="8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our board of directors or by a special resolution of our shareholders. Our company may also repurchase any of our shares on such terms and in such manner as have been approved by our board of</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40"/>
          </w:cols>
          <w:pgMar w:left="320" w:top="452" w:right="5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20"/>
        <w:spacing w:after="0" w:line="252" w:lineRule="auto"/>
        <w:rPr>
          <w:sz w:val="20"/>
          <w:szCs w:val="20"/>
          <w:color w:val="auto"/>
        </w:rPr>
      </w:pPr>
      <w:r>
        <w:rPr>
          <w:rFonts w:ascii="Times New Roman" w:cs="Times New Roman" w:eastAsia="Times New Roman" w:hAnsi="Times New Roman"/>
          <w:sz w:val="18"/>
          <w:szCs w:val="18"/>
          <w:color w:val="auto"/>
        </w:rPr>
        <w:t>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3" w:lineRule="exact"/>
        <w:rPr>
          <w:sz w:val="20"/>
          <w:szCs w:val="20"/>
          <w:color w:val="auto"/>
        </w:rPr>
      </w:pPr>
    </w:p>
    <w:p>
      <w:pPr>
        <w:ind w:left="200" w:right="16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 any class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81" w:lineRule="exact"/>
        <w:rPr>
          <w:sz w:val="20"/>
          <w:szCs w:val="20"/>
          <w:color w:val="auto"/>
        </w:rPr>
      </w:pPr>
    </w:p>
    <w:p>
      <w:pPr>
        <w:ind w:left="200" w:right="480" w:firstLine="434"/>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Issuance of additional shares. </w:t>
      </w:r>
      <w:r>
        <w:rPr>
          <w:rFonts w:ascii="Times New Roman" w:cs="Times New Roman" w:eastAsia="Times New Roman" w:hAnsi="Times New Roman"/>
          <w:sz w:val="17"/>
          <w:szCs w:val="17"/>
          <w:color w:val="auto"/>
        </w:rPr>
        <w:t>Our post-offering memorandum and articles of association authorize our board of directors to issue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shares from time to time as our board of directors shall determine, to the extent out of available authorized but unissued ordinary shares.</w:t>
      </w:r>
    </w:p>
    <w:p>
      <w:pPr>
        <w:spacing w:after="0" w:line="138" w:lineRule="exact"/>
        <w:rPr>
          <w:sz w:val="20"/>
          <w:szCs w:val="20"/>
          <w:color w:val="auto"/>
        </w:rPr>
      </w:pPr>
    </w:p>
    <w:p>
      <w:pPr>
        <w:ind w:left="200" w:right="160" w:firstLine="434"/>
        <w:spacing w:after="0" w:line="275" w:lineRule="auto"/>
        <w:rPr>
          <w:sz w:val="20"/>
          <w:szCs w:val="20"/>
          <w:color w:val="auto"/>
        </w:rPr>
      </w:pPr>
      <w:r>
        <w:rPr>
          <w:rFonts w:ascii="Times New Roman" w:cs="Times New Roman" w:eastAsia="Times New Roman" w:hAnsi="Times New Roman"/>
          <w:sz w:val="18"/>
          <w:szCs w:val="18"/>
          <w:color w:val="auto"/>
        </w:rPr>
        <w:t>Our post-offering memorandum and articles of association also authorize our board of directors to establish from time to time one or more series of preferred shares and to determine, with respect to any series of preferred shares, the terms and rights of that series, including:</w:t>
      </w:r>
    </w:p>
    <w:p>
      <w:pPr>
        <w:spacing w:after="0" w:line="71" w:lineRule="exact"/>
        <w:rPr>
          <w:sz w:val="20"/>
          <w:szCs w:val="20"/>
          <w:color w:val="auto"/>
        </w:rPr>
      </w:pPr>
    </w:p>
    <w:p>
      <w:pPr>
        <w:ind w:left="1160" w:hanging="429"/>
        <w:spacing w:after="0"/>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out of authorized but unissued preferred shares.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Issuance of these shares may dilute the voting power of holders of ordinary shares.</w:t>
      </w:r>
    </w:p>
    <w:p>
      <w:pPr>
        <w:spacing w:after="0" w:line="197" w:lineRule="exact"/>
        <w:rPr>
          <w:sz w:val="20"/>
          <w:szCs w:val="20"/>
          <w:color w:val="auto"/>
        </w:rPr>
      </w:pPr>
    </w:p>
    <w:p>
      <w:pPr>
        <w:ind w:left="2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list of shareholders or our corporate records (save for our register of mortgages and charges, our memorandum and articles of association and special resolutions of our shareholders). However, we will provide our shareholders with annual audited financial statements. See “Where You Can Find Additional Information.”</w:t>
      </w:r>
    </w:p>
    <w:p>
      <w:pPr>
        <w:spacing w:after="0" w:line="177" w:lineRule="exact"/>
        <w:rPr>
          <w:sz w:val="20"/>
          <w:szCs w:val="20"/>
          <w:color w:val="auto"/>
        </w:rPr>
      </w:pPr>
    </w:p>
    <w:p>
      <w:pPr>
        <w:ind w:left="200" w:right="52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post-offering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69" w:lineRule="exact"/>
        <w:rPr>
          <w:sz w:val="20"/>
          <w:szCs w:val="20"/>
          <w:color w:val="auto"/>
        </w:rPr>
      </w:pPr>
    </w:p>
    <w:p>
      <w:pPr>
        <w:ind w:left="1160" w:hanging="429"/>
        <w:spacing w:after="0" w:line="275" w:lineRule="auto"/>
        <w:tabs>
          <w:tab w:leader="none" w:pos="11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18" w:lineRule="exact"/>
        <w:rPr>
          <w:sz w:val="20"/>
          <w:szCs w:val="20"/>
          <w:color w:val="auto"/>
        </w:rPr>
      </w:pPr>
    </w:p>
    <w:p>
      <w:pPr>
        <w:ind w:left="200" w:right="40" w:firstLine="434"/>
        <w:spacing w:after="0" w:line="275"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40"/>
          </w:cols>
          <w:pgMar w:left="320" w:top="452" w:right="5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right="1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6" w:lineRule="exact"/>
        <w:rPr>
          <w:sz w:val="20"/>
          <w:szCs w:val="20"/>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25" w:lineRule="exact"/>
        <w:rPr>
          <w:rFonts w:ascii="Times New Roman" w:cs="Times New Roman" w:eastAsia="Times New Roman" w:hAnsi="Times New Roman"/>
          <w:sz w:val="18"/>
          <w:szCs w:val="18"/>
          <w:color w:val="auto"/>
        </w:rPr>
      </w:pPr>
    </w:p>
    <w:p>
      <w:pPr>
        <w:ind w:left="1160" w:right="500" w:hanging="429"/>
        <w:spacing w:after="0" w:line="275" w:lineRule="auto"/>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18" w:lineRule="exact"/>
        <w:rPr>
          <w:sz w:val="20"/>
          <w:szCs w:val="20"/>
          <w:color w:val="auto"/>
        </w:rPr>
      </w:pPr>
    </w:p>
    <w:p>
      <w:pPr>
        <w:jc w:val="both"/>
        <w:ind w:left="200" w:right="280" w:firstLine="434"/>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4" w:lineRule="exact"/>
        <w:rPr>
          <w:sz w:val="20"/>
          <w:szCs w:val="20"/>
          <w:color w:val="auto"/>
        </w:rPr>
      </w:pPr>
    </w:p>
    <w:p>
      <w:pPr>
        <w:ind w:left="200" w:right="120" w:firstLine="434"/>
        <w:spacing w:after="0" w:line="253"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3" w:lineRule="exact"/>
        <w:rPr>
          <w:sz w:val="20"/>
          <w:szCs w:val="20"/>
          <w:color w:val="auto"/>
        </w:rPr>
      </w:pPr>
    </w:p>
    <w:p>
      <w:pPr>
        <w:ind w:left="200" w:firstLine="434"/>
        <w:spacing w:after="0" w:line="265" w:lineRule="auto"/>
        <w:rPr>
          <w:sz w:val="20"/>
          <w:szCs w:val="20"/>
          <w:color w:val="auto"/>
        </w:rPr>
      </w:pPr>
      <w:r>
        <w:rPr>
          <w:rFonts w:ascii="Times New Roman" w:cs="Times New Roman" w:eastAsia="Times New Roman" w:hAnsi="Times New Roman"/>
          <w:sz w:val="17"/>
          <w:szCs w:val="17"/>
          <w:i w:val="1"/>
          <w:iCs w:val="1"/>
          <w:color w:val="auto"/>
        </w:rPr>
        <w:t>Mergers and Similar Arrangements</w:t>
      </w:r>
      <w:r>
        <w:rPr>
          <w:rFonts w:ascii="Times New Roman" w:cs="Times New Roman" w:eastAsia="Times New Roman" w:hAnsi="Times New Roman"/>
          <w:sz w:val="17"/>
          <w:szCs w:val="17"/>
          <w:color w:val="auto"/>
        </w:rPr>
        <w:t>. The Companies Act permits mergers and consolidations between Cayman Islands companies and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3" w:lineRule="exact"/>
        <w:rPr>
          <w:sz w:val="20"/>
          <w:szCs w:val="20"/>
          <w:color w:val="auto"/>
        </w:rPr>
      </w:pPr>
    </w:p>
    <w:p>
      <w:pPr>
        <w:ind w:left="200" w:right="20" w:hanging="1"/>
        <w:spacing w:after="0" w:line="248" w:lineRule="auto"/>
        <w:tabs>
          <w:tab w:leader="none" w:pos="4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7" w:lineRule="exact"/>
        <w:rPr>
          <w:sz w:val="20"/>
          <w:szCs w:val="20"/>
          <w:color w:val="auto"/>
        </w:rPr>
      </w:pPr>
    </w:p>
    <w:p>
      <w:pPr>
        <w:ind w:left="200" w:right="220" w:firstLine="434"/>
        <w:spacing w:after="0" w:line="25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40"/>
          </w:cols>
          <w:pgMar w:left="320" w:top="452" w:right="5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60" w:firstLine="434"/>
        <w:spacing w:after="0" w:line="275"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5"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160" w:hanging="429"/>
        <w:spacing w:after="0"/>
        <w:tabs>
          <w:tab w:leader="none" w:pos="1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25" w:lineRule="exact"/>
        <w:rPr>
          <w:rFonts w:ascii="Times New Roman" w:cs="Times New Roman" w:eastAsia="Times New Roman" w:hAnsi="Times New Roman"/>
          <w:sz w:val="18"/>
          <w:szCs w:val="18"/>
          <w:color w:val="auto"/>
        </w:rPr>
      </w:pPr>
    </w:p>
    <w:p>
      <w:pPr>
        <w:ind w:left="1160" w:right="60" w:hanging="429"/>
        <w:spacing w:after="0" w:line="275" w:lineRule="auto"/>
        <w:tabs>
          <w:tab w:leader="none" w:pos="1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136" w:lineRule="exact"/>
        <w:rPr>
          <w:rFonts w:ascii="Times New Roman" w:cs="Times New Roman" w:eastAsia="Times New Roman" w:hAnsi="Times New Roman"/>
          <w:sz w:val="17"/>
          <w:szCs w:val="17"/>
          <w:color w:val="auto"/>
        </w:rPr>
      </w:pPr>
    </w:p>
    <w:p>
      <w:pPr>
        <w:ind w:left="1160" w:hanging="429"/>
        <w:spacing w:after="0"/>
        <w:tabs>
          <w:tab w:leader="none" w:pos="1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18"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5"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9" w:lineRule="exact"/>
        <w:rPr>
          <w:sz w:val="20"/>
          <w:szCs w:val="20"/>
          <w:color w:val="auto"/>
        </w:rPr>
      </w:pPr>
    </w:p>
    <w:p>
      <w:pPr>
        <w:ind w:left="200" w:right="8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0" w:lineRule="exact"/>
        <w:rPr>
          <w:sz w:val="20"/>
          <w:szCs w:val="20"/>
          <w:color w:val="auto"/>
        </w:rPr>
      </w:pPr>
    </w:p>
    <w:p>
      <w:pPr>
        <w:ind w:left="1160" w:hanging="429"/>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40"/>
          </w:cols>
          <w:pgMar w:left="320" w:top="452" w:right="5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right="180" w:hanging="429"/>
        <w:spacing w:after="0" w:line="275" w:lineRule="auto"/>
        <w:tabs>
          <w:tab w:leader="none" w:pos="1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16"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6" w:lineRule="exact"/>
        <w:rPr>
          <w:sz w:val="20"/>
          <w:szCs w:val="20"/>
          <w:color w:val="auto"/>
        </w:rPr>
      </w:pPr>
    </w:p>
    <w:p>
      <w:pPr>
        <w:ind w:left="200" w:right="180" w:firstLine="434"/>
        <w:spacing w:after="0" w:line="275"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64"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7"/>
          <w:szCs w:val="17"/>
          <w:i w:val="1"/>
          <w:iCs w:val="1"/>
          <w:color w:val="auto"/>
        </w:rPr>
        <w:t>Directors’ fiduciary duties</w:t>
      </w:r>
      <w:r>
        <w:rPr>
          <w:rFonts w:ascii="Times New Roman" w:cs="Times New Roman" w:eastAsia="Times New Roman" w:hAnsi="Times New Roman"/>
          <w:sz w:val="17"/>
          <w:szCs w:val="17"/>
          <w:color w:val="auto"/>
        </w:rPr>
        <w:t>. Under Delaware corporate law, a director of a Delaware corporation has a fiduciary duty to the corporation and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6"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40"/>
          </w:cols>
          <w:pgMar w:left="320" w:top="452"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standard with regard to the required skill and care and these authorities are likely to be followed in the Cayman Islands.</w:t>
      </w:r>
    </w:p>
    <w:p>
      <w:pPr>
        <w:spacing w:after="0" w:line="216" w:lineRule="exact"/>
        <w:rPr>
          <w:sz w:val="20"/>
          <w:szCs w:val="20"/>
          <w:color w:val="auto"/>
        </w:rPr>
      </w:pPr>
    </w:p>
    <w:p>
      <w:pPr>
        <w:jc w:val="both"/>
        <w:ind w:left="200" w:right="6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7" w:lineRule="exact"/>
        <w:rPr>
          <w:sz w:val="20"/>
          <w:szCs w:val="20"/>
          <w:color w:val="auto"/>
        </w:rPr>
      </w:pPr>
    </w:p>
    <w:p>
      <w:pPr>
        <w:ind w:left="200" w:right="180" w:firstLine="434"/>
        <w:spacing w:after="0" w:line="284" w:lineRule="auto"/>
        <w:rPr>
          <w:sz w:val="20"/>
          <w:szCs w:val="20"/>
          <w:color w:val="auto"/>
        </w:rPr>
      </w:pPr>
      <w:r>
        <w:rPr>
          <w:rFonts w:ascii="Times New Roman" w:cs="Times New Roman" w:eastAsia="Times New Roman" w:hAnsi="Times New Roman"/>
          <w:sz w:val="17"/>
          <w:szCs w:val="17"/>
          <w:i w:val="1"/>
          <w:iCs w:val="1"/>
          <w:color w:val="auto"/>
        </w:rPr>
        <w:t>Shareholder proposals</w:t>
      </w:r>
      <w:r>
        <w:rPr>
          <w:rFonts w:ascii="Times New Roman" w:cs="Times New Roman" w:eastAsia="Times New Roman" w:hAnsi="Times New Roman"/>
          <w:sz w:val="17"/>
          <w:szCs w:val="17"/>
          <w:color w:val="auto"/>
        </w:rPr>
        <w:t>. Under the Delaware General Corporation Law, a shareholder has the right to put any proposal before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9" w:lineRule="exact"/>
        <w:rPr>
          <w:sz w:val="20"/>
          <w:szCs w:val="20"/>
          <w:color w:val="auto"/>
        </w:rPr>
      </w:pPr>
    </w:p>
    <w:p>
      <w:pPr>
        <w:ind w:left="200" w:right="180" w:firstLine="434"/>
        <w:spacing w:after="0" w:line="267" w:lineRule="auto"/>
        <w:rPr>
          <w:sz w:val="20"/>
          <w:szCs w:val="20"/>
          <w:color w:val="auto"/>
        </w:rPr>
      </w:pPr>
      <w:r>
        <w:rPr>
          <w:rFonts w:ascii="Times New Roman" w:cs="Times New Roman" w:eastAsia="Times New Roman" w:hAnsi="Times New Roman"/>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holding shares which carry in aggregate not less than one-third of the total number votes attaching to all issued and outstanding shares of our company as of the date of the deposit that are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73"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85" w:lineRule="exact"/>
        <w:rPr>
          <w:sz w:val="20"/>
          <w:szCs w:val="20"/>
          <w:color w:val="auto"/>
        </w:rPr>
      </w:pPr>
    </w:p>
    <w:p>
      <w:pPr>
        <w:ind w:left="200" w:right="140" w:firstLine="434"/>
        <w:spacing w:after="0" w:line="265" w:lineRule="auto"/>
        <w:rPr>
          <w:sz w:val="20"/>
          <w:szCs w:val="20"/>
          <w:color w:val="auto"/>
        </w:rPr>
      </w:pPr>
      <w:r>
        <w:rPr>
          <w:rFonts w:ascii="Times New Roman" w:cs="Times New Roman" w:eastAsia="Times New Roman" w:hAnsi="Times New Roman"/>
          <w:sz w:val="17"/>
          <w:szCs w:val="17"/>
          <w:i w:val="1"/>
          <w:iCs w:val="1"/>
          <w:color w:val="auto"/>
        </w:rPr>
        <w:t>Removal of directors</w:t>
      </w:r>
      <w:r>
        <w:rPr>
          <w:rFonts w:ascii="Times New Roman" w:cs="Times New Roman" w:eastAsia="Times New Roman" w:hAnsi="Times New Roman"/>
          <w:sz w:val="17"/>
          <w:szCs w:val="17"/>
          <w:color w:val="auto"/>
        </w:rPr>
        <w:t>. Under the Delaware General Corporation Law, a director of a corporation with a classified board may be removed only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with the approval of a majority of the issued and outstanding shares entitled to vote, unless the certificate of incorporation provides otherwise. Under our post-offering memorandum and articles of association, directors may be removed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 will also cease to be a director if he</w:t>
      </w:r>
    </w:p>
    <w:p>
      <w:pPr>
        <w:spacing w:after="0" w:line="3" w:lineRule="exact"/>
        <w:rPr>
          <w:sz w:val="20"/>
          <w:szCs w:val="20"/>
          <w:color w:val="auto"/>
        </w:rPr>
      </w:pPr>
    </w:p>
    <w:p>
      <w:pPr>
        <w:ind w:left="200" w:right="20" w:hanging="1"/>
        <w:spacing w:after="0" w:line="271" w:lineRule="auto"/>
        <w:tabs>
          <w:tab w:leader="none" w:pos="41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68" w:lineRule="exact"/>
        <w:rPr>
          <w:sz w:val="20"/>
          <w:szCs w:val="20"/>
          <w:color w:val="auto"/>
        </w:rPr>
      </w:pPr>
    </w:p>
    <w:p>
      <w:pPr>
        <w:ind w:left="200" w:right="7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40"/>
          </w:cols>
          <w:pgMar w:left="320" w:top="452" w:right="5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1" w:lineRule="auto"/>
        <w:rPr>
          <w:sz w:val="20"/>
          <w:szCs w:val="20"/>
          <w:color w:val="auto"/>
        </w:rPr>
      </w:pPr>
      <w:r>
        <w:rPr>
          <w:rFonts w:ascii="Times New Roman" w:cs="Times New Roman" w:eastAsia="Times New Roman" w:hAnsi="Times New Roman"/>
          <w:sz w:val="18"/>
          <w:szCs w:val="18"/>
          <w:color w:val="auto"/>
        </w:rPr>
        <w:t>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spacing w:after="0" w:line="183" w:lineRule="exact"/>
        <w:rPr>
          <w:sz w:val="20"/>
          <w:szCs w:val="20"/>
          <w:color w:val="auto"/>
        </w:rPr>
      </w:pPr>
    </w:p>
    <w:p>
      <w:pPr>
        <w:ind w:left="200" w:right="20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69" w:lineRule="exact"/>
        <w:rPr>
          <w:sz w:val="20"/>
          <w:szCs w:val="20"/>
          <w:color w:val="auto"/>
        </w:rPr>
      </w:pPr>
    </w:p>
    <w:p>
      <w:pPr>
        <w:ind w:left="1160" w:hanging="535"/>
        <w:spacing w:after="0"/>
        <w:tabs>
          <w:tab w:leader="none" w:pos="11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25" w:lineRule="exact"/>
        <w:rPr>
          <w:rFonts w:ascii="Times New Roman" w:cs="Times New Roman" w:eastAsia="Times New Roman" w:hAnsi="Times New Roman"/>
          <w:sz w:val="18"/>
          <w:szCs w:val="18"/>
          <w:color w:val="auto"/>
        </w:rPr>
      </w:pPr>
    </w:p>
    <w:p>
      <w:pPr>
        <w:ind w:left="1160" w:right="420" w:hanging="535"/>
        <w:spacing w:after="0" w:line="275" w:lineRule="auto"/>
        <w:tabs>
          <w:tab w:leader="none" w:pos="11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4" w:lineRule="exact"/>
        <w:rPr>
          <w:sz w:val="20"/>
          <w:szCs w:val="20"/>
          <w:color w:val="auto"/>
        </w:rPr>
      </w:pPr>
    </w:p>
    <w:p>
      <w:pPr>
        <w:ind w:left="200" w:right="40" w:firstLine="434"/>
        <w:spacing w:after="0" w:line="250"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8" w:lineRule="exact"/>
        <w:rPr>
          <w:sz w:val="20"/>
          <w:szCs w:val="20"/>
          <w:color w:val="auto"/>
        </w:rPr>
      </w:pPr>
    </w:p>
    <w:p>
      <w:pPr>
        <w:ind w:left="200" w:right="4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3"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jc w:val="both"/>
        <w:ind w:left="200" w:right="6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our post-offering memorandum and articles of association,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40"/>
          </w:cols>
          <w:pgMar w:left="320" w:top="452" w:right="5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40"/>
        <w:spacing w:after="0" w:line="251" w:lineRule="auto"/>
        <w:rPr>
          <w:sz w:val="20"/>
          <w:szCs w:val="20"/>
          <w:color w:val="auto"/>
        </w:rPr>
      </w:pPr>
      <w:r>
        <w:rPr>
          <w:rFonts w:ascii="Times New Roman" w:cs="Times New Roman" w:eastAsia="Times New Roman" w:hAnsi="Times New Roman"/>
          <w:sz w:val="18"/>
          <w:szCs w:val="18"/>
          <w:color w:val="auto"/>
        </w:rPr>
        <w:t xml:space="preserve">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left="20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77" w:lineRule="exact"/>
        <w:rPr>
          <w:sz w:val="20"/>
          <w:szCs w:val="20"/>
          <w:color w:val="auto"/>
        </w:rPr>
      </w:pPr>
    </w:p>
    <w:p>
      <w:pPr>
        <w:jc w:val="both"/>
        <w:ind w:left="200" w:right="60" w:firstLine="434"/>
        <w:spacing w:after="0" w:line="284" w:lineRule="auto"/>
        <w:rPr>
          <w:sz w:val="20"/>
          <w:szCs w:val="20"/>
          <w:color w:val="auto"/>
        </w:rPr>
      </w:pPr>
      <w:r>
        <w:rPr>
          <w:rFonts w:ascii="Times New Roman" w:cs="Times New Roman" w:eastAsia="Times New Roman" w:hAnsi="Times New Roman"/>
          <w:sz w:val="17"/>
          <w:szCs w:val="17"/>
          <w:i w:val="1"/>
          <w:iCs w:val="1"/>
          <w:color w:val="auto"/>
        </w:rPr>
        <w:t>Rights of non-resident or foreign shareholders</w:t>
      </w:r>
      <w:r>
        <w:rPr>
          <w:rFonts w:ascii="Times New Roman" w:cs="Times New Roman" w:eastAsia="Times New Roman" w:hAnsi="Times New Roman"/>
          <w:sz w:val="17"/>
          <w:szCs w:val="17"/>
          <w:color w:val="auto"/>
        </w:rPr>
        <w:t>. There are no limitations imposed by our post-offering memorandum and articles of association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rights of non-resident or foreign shareholders to hold or exercise voting rights on our shares. In addition, there are no provisions in our post-offering memorandum and articles of association that require our company to disclose shareholder ownership above any particular ownership threshold.</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and re-designations during the past three years.</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preferred shares</w:t>
      </w:r>
    </w:p>
    <w:p>
      <w:pPr>
        <w:spacing w:after="0" w:line="116"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On February 9, 2022, our authorized share capital of US$50,000 was divided into 500,000,000 shares of a nominal or par value of US$0.0001 each. On the same date, we issued one ordinary share to Sertus Nominees (Cayman) Limited at nominal consideration for incorporation purpose, which transferred the same amount of share to WITTY TIME LIMITED on the same date at nominal consideration.</w:t>
      </w:r>
    </w:p>
    <w:p>
      <w:pPr>
        <w:spacing w:after="0" w:line="176" w:lineRule="exact"/>
        <w:rPr>
          <w:sz w:val="20"/>
          <w:szCs w:val="20"/>
          <w:color w:val="auto"/>
        </w:rPr>
      </w:pPr>
    </w:p>
    <w:p>
      <w:pPr>
        <w:ind w:left="200" w:right="20" w:firstLine="434"/>
        <w:spacing w:after="0" w:line="267" w:lineRule="auto"/>
        <w:rPr>
          <w:sz w:val="20"/>
          <w:szCs w:val="20"/>
          <w:color w:val="auto"/>
        </w:rPr>
      </w:pPr>
      <w:r>
        <w:rPr>
          <w:rFonts w:ascii="Times New Roman" w:cs="Times New Roman" w:eastAsia="Times New Roman" w:hAnsi="Times New Roman"/>
          <w:sz w:val="17"/>
          <w:szCs w:val="17"/>
          <w:color w:val="auto"/>
        </w:rPr>
        <w:t>On May 31, 2022, our authorized share capital of US$50,000 consisting of 500,000,000 shares of a nominal or par value of US$0.0001 each, is re-classified and re-designated into: (1) 345,113,731 pre-offering Class A ordinary shares of a nominal or par value of US$0.0001 each, (2) 54,042,638 pre-offering Class B ordinary shares of a nominal or par value of US$0.0001 each, (3) 22,000,000 convertible redeemable series A preferred shares of a nominal or par value of US$0.0001 each, (4) 23,983,789 convertible redeemable series B preferred shares of a nominal or par value of US$0.0001 each,</w:t>
      </w:r>
    </w:p>
    <w:p>
      <w:pPr>
        <w:ind w:left="200" w:right="80" w:hanging="1"/>
        <w:spacing w:after="0" w:line="268" w:lineRule="auto"/>
        <w:tabs>
          <w:tab w:leader="none" w:pos="45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7,913,872 convertible redeemable series B-1 preferred shares of a nominal or par value of US$0.0001 each, (6) 20,327,789 convertible redeemable series C preferred shares of a nominal or par value of US$0.0001 each, (7) 11,818,754 convertible redeemable series D preferred shares of a nominal or par value of US$0.0001 each, and (8) 14,799,427 convertible redeemable series E preferred shares of a nominal or par value of US$0.0001 each. Each pre-offering Class A ordinary share is entitled to one vote and each pre-offering Class B ordinary share is entitled to ten votes.</w:t>
      </w:r>
    </w:p>
    <w:p>
      <w:pPr>
        <w:spacing w:after="0" w:line="171"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On May 31, 2022, we issued 600,000 pre-offering Class A ordinary shares and 52,042,638 pre-offering Class B ordinary shares to WITTY TIME LIMITED at the nominal value for the restructuring and spin-off. On the same date, we issued 22,000,000 series A preferred shares, 23,983,789 series B preferred shares, 7,913,872 series B-1 preferred shares, 20,327,789 series C preferred shares, 11,818,754 series D preferred shares, and 14,799,427 series E preferred shares to our pre-IPO investors respectively at the nominal value for the restructuring and spinoff. See “Corporate History and Structure.”</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20"/>
          </w:cols>
          <w:pgMar w:left="320" w:top="452" w:right="5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June 1, 2022, we re-designated 4,783,589 pre-offering Class B ordinary shares as the same number of pre-offering Class A ordinary shares.</w:t>
      </w:r>
    </w:p>
    <w:p>
      <w:pPr>
        <w:spacing w:after="0" w:line="218" w:lineRule="exact"/>
        <w:rPr>
          <w:sz w:val="20"/>
          <w:szCs w:val="20"/>
          <w:color w:val="auto"/>
        </w:rPr>
      </w:pPr>
    </w:p>
    <w:p>
      <w:pPr>
        <w:ind w:left="200" w:right="580" w:firstLine="434"/>
        <w:spacing w:after="0" w:line="275" w:lineRule="auto"/>
        <w:rPr>
          <w:sz w:val="20"/>
          <w:szCs w:val="20"/>
          <w:color w:val="auto"/>
        </w:rPr>
      </w:pPr>
      <w:r>
        <w:rPr>
          <w:rFonts w:ascii="Times New Roman" w:cs="Times New Roman" w:eastAsia="Times New Roman" w:hAnsi="Times New Roman"/>
          <w:sz w:val="18"/>
          <w:szCs w:val="18"/>
          <w:color w:val="auto"/>
        </w:rPr>
        <w:t>On November 30, 2022, WITTY TIME LIMITED transferred all the Class B ordinary shares held by it to Even Par Holding Limited at nil consideration in connection with the establishment of a trust for and on behalf of Mr. Peng Li. See “Principal Shareholders” for details.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Options or restricted shares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“Management — Share Incentive Plans” and “Management — Share Restriction Agreement.”</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4" w:lineRule="exact"/>
        <w:rPr>
          <w:sz w:val="20"/>
          <w:szCs w:val="20"/>
          <w:color w:val="auto"/>
        </w:rPr>
      </w:pPr>
    </w:p>
    <w:p>
      <w:pPr>
        <w:ind w:left="200" w:right="160" w:firstLine="434"/>
        <w:spacing w:after="0" w:line="256" w:lineRule="auto"/>
        <w:rPr>
          <w:sz w:val="20"/>
          <w:szCs w:val="20"/>
          <w:color w:val="auto"/>
        </w:rPr>
      </w:pPr>
      <w:r>
        <w:rPr>
          <w:rFonts w:ascii="Times New Roman" w:cs="Times New Roman" w:eastAsia="Times New Roman" w:hAnsi="Times New Roman"/>
          <w:sz w:val="18"/>
          <w:szCs w:val="18"/>
          <w:color w:val="auto"/>
        </w:rPr>
        <w:t>We entered into a shareholders agreement (as amended) with our shareholders on December 20, 2022. The shareholders agreements provide for certain shareholders’ rights, including information and inspection rights, preemptive rights, right of first refusal and co-sale rights, director nomination rights and provisions governing corporate governance matters. The special rights as well as the corporate governance provisions will automatically terminate upon the completion of this offering, except for the registration rights as set forth below.</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6" w:lineRule="exact"/>
        <w:rPr>
          <w:sz w:val="20"/>
          <w:szCs w:val="20"/>
          <w:color w:val="auto"/>
        </w:rPr>
      </w:pPr>
    </w:p>
    <w:p>
      <w:pPr>
        <w:ind w:left="200" w:right="660" w:firstLine="434"/>
        <w:spacing w:after="0" w:line="275" w:lineRule="auto"/>
        <w:rPr>
          <w:sz w:val="20"/>
          <w:szCs w:val="20"/>
          <w:color w:val="auto"/>
        </w:rPr>
      </w:pPr>
      <w:r>
        <w:rPr>
          <w:rFonts w:ascii="Times New Roman" w:cs="Times New Roman" w:eastAsia="Times New Roman" w:hAnsi="Times New Roman"/>
          <w:sz w:val="18"/>
          <w:szCs w:val="18"/>
          <w:color w:val="auto"/>
        </w:rPr>
        <w:t>We have granted certain registration rights to our shareholders. Set forth below is a description of the registration rights granted under the shareholders agreement.</w:t>
      </w:r>
    </w:p>
    <w:p>
      <w:pPr>
        <w:spacing w:after="0" w:line="162"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the earlier of (1) the fourth anniversary of May 31, 2022, or (2) six months following the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a registration statement for a qualified initial public offering, if holders of at least 25% of the registrable securities then outstanding demand in writing that we file a registration statement under the Securities Act covering the registration of at least 20% (or any lesser percentage if the anticipated gross proceeds to our company from such proposed offering would exceed US$5,000,000) of the registrable securities then outstanding, we shall warrant such request, subject to certain terms and conditions. We have the right to defer filing of a registration statement for a period of not more than 90 days after the receipt of the request of the initiating holders if we furnish to the holders requesting registration a certificate signed by our chief executive officer stating that in the good faith judgment of our board of directors, it would be materially detrimental to us and our shareholders for such registration statement to be filed at such time. However, we cannot exercise the deferral right more than once in any 12 month period and shall not register any other of our shares during such period. We are obligated to effect no more than two demand registrations, other than demand registration to be effected pursuant to registration statement on Form F-3, for which an unlimited number of demand registrations shall be permitted.</w:t>
      </w:r>
    </w:p>
    <w:p>
      <w:pPr>
        <w:spacing w:after="0" w:line="184" w:lineRule="exact"/>
        <w:rPr>
          <w:sz w:val="20"/>
          <w:szCs w:val="20"/>
          <w:color w:val="auto"/>
        </w:rPr>
      </w:pPr>
    </w:p>
    <w:p>
      <w:pPr>
        <w:ind w:left="200" w:right="10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equity securities, in connection with the public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equity securities, we should promptly give holders of our registrable securities written notice of such registration and, upon the written request of any holder given within twenty (20) days after delivery of such notice, we should use our reasonable best efforts to include in such registration the registrable securities requested to be registered by such holder. If the managing underwriters of any underwritten offering determine in good faith that marketing factors require a limitation of the number of shares to be underwritten, and the number of shares that may be included in the registration statement and the underwriting shall be allocated (1) first, to our company, (2) second, to each holder requesting inclusion of its registrable securities in such registration statement on a pro rata basis based on the total number of registrable securities then held by each such holder, (3) third, to holders of other securities of our company.</w:t>
      </w:r>
    </w:p>
    <w:p>
      <w:pPr>
        <w:spacing w:after="0" w:line="183" w:lineRule="exact"/>
        <w:rPr>
          <w:sz w:val="20"/>
          <w:szCs w:val="20"/>
          <w:color w:val="auto"/>
        </w:rPr>
      </w:pPr>
    </w:p>
    <w:p>
      <w:pPr>
        <w:ind w:left="200" w:right="160" w:firstLine="434"/>
        <w:spacing w:after="0" w:line="277"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Our shareholders may request us in writing to file an unlimited number of registration statements on Form F-3.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effect the registration of the securities on Form F-3 as soon as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40"/>
          </w:cols>
          <w:pgMar w:left="320" w:top="452" w:right="5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practicable, except in certain circumstances, including, but not limited to, the aggregate value of the registrable securities and such other securities for sale shall not be less than US$500,000. We have the right to defer filing of a registration statement for a period of not more than 60 days after the receipt of the request of the initiating holders. However, we cannot exercise the deferral right more than once in any 12 month period and shall not register any other of our shares during such period.</w:t>
      </w:r>
    </w:p>
    <w:p>
      <w:pPr>
        <w:spacing w:after="0" w:line="179" w:lineRule="exact"/>
        <w:rPr>
          <w:sz w:val="20"/>
          <w:szCs w:val="20"/>
          <w:color w:val="auto"/>
        </w:rPr>
      </w:pPr>
    </w:p>
    <w:p>
      <w:pPr>
        <w:jc w:val="both"/>
        <w:ind w:left="200" w:right="6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shall bear all registration expenses (other than underwriting discounts and commissions, and fees for special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holders participating in such registration) incurred in connection with any demand, piggyback or Form F-3 registration. However, we will not be required to pay for any expenses in excess of US$25,000 of any special audit required in connection with a demand registration.</w:t>
      </w:r>
    </w:p>
    <w:p>
      <w:pPr>
        <w:spacing w:after="0" w:line="173" w:lineRule="exact"/>
        <w:rPr>
          <w:sz w:val="20"/>
          <w:szCs w:val="20"/>
          <w:color w:val="auto"/>
        </w:rPr>
      </w:pPr>
    </w:p>
    <w:p>
      <w:pPr>
        <w:ind w:left="200" w:right="34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Our shareholders’ registration rights will terminate upon the earlier of (1) the fifth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this offering, and (2) as to any shareholder when the shares subject to registration rights held by such shareholder can be sold without registration in any 90-day period pursuant to Rule 144 promulgated under the Securities Act.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20"/>
          </w:cols>
          <w:pgMar w:left="320" w:top="452" w:right="5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0"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Citibank, N.A. has agreed to act as the depositary for the American Depositary Shares. The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 Hong Kong, located at 9/F Citi Tower, One Bay East, 83 Hoi Bun Road, Kwun Tong, Kowloon, Hong Kong.</w:t>
      </w:r>
    </w:p>
    <w:p>
      <w:pPr>
        <w:spacing w:after="0" w:line="185" w:lineRule="exact"/>
        <w:rPr>
          <w:sz w:val="20"/>
          <w:szCs w:val="20"/>
          <w:color w:val="auto"/>
        </w:rPr>
      </w:pPr>
    </w:p>
    <w:p>
      <w:pPr>
        <w:ind w:left="200" w:firstLine="434"/>
        <w:spacing w:after="0" w:line="283" w:lineRule="auto"/>
        <w:rPr>
          <w:sz w:val="20"/>
          <w:szCs w:val="20"/>
          <w:color w:val="auto"/>
        </w:rPr>
      </w:pPr>
      <w:r>
        <w:rPr>
          <w:rFonts w:ascii="Times New Roman" w:cs="Times New Roman" w:eastAsia="Times New Roman" w:hAnsi="Times New Roman"/>
          <w:sz w:val="17"/>
          <w:szCs w:val="17"/>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333-268984 when retrieving such copy.</w:t>
      </w:r>
    </w:p>
    <w:p>
      <w:pPr>
        <w:spacing w:after="0" w:line="159"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5" w:lineRule="exact"/>
        <w:rPr>
          <w:sz w:val="20"/>
          <w:szCs w:val="20"/>
          <w:color w:val="auto"/>
        </w:rPr>
      </w:pPr>
    </w:p>
    <w:p>
      <w:pPr>
        <w:ind w:left="200" w:right="60" w:firstLine="434"/>
        <w:spacing w:after="0" w:line="249"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three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ADS-to-Class A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7" w:lineRule="exact"/>
        <w:rPr>
          <w:sz w:val="20"/>
          <w:szCs w:val="20"/>
          <w:color w:val="auto"/>
        </w:rPr>
      </w:pPr>
    </w:p>
    <w:p>
      <w:pPr>
        <w:ind w:left="200" w:right="80" w:firstLine="434"/>
        <w:spacing w:after="0" w:line="253"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85"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40"/>
          </w:cols>
          <w:pgMar w:left="320" w:top="452"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cancelation of your ADSs and become a direct shareholder.</w:t>
      </w:r>
    </w:p>
    <w:p>
      <w:pPr>
        <w:spacing w:after="0" w:line="183" w:lineRule="exact"/>
        <w:rPr>
          <w:sz w:val="20"/>
          <w:szCs w:val="20"/>
          <w:color w:val="auto"/>
        </w:rPr>
      </w:pPr>
    </w:p>
    <w:p>
      <w:pPr>
        <w:ind w:left="200" w:right="40" w:firstLine="434"/>
        <w:spacing w:after="0" w:line="248"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7"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14"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114"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176"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40"/>
          </w:cols>
          <w:pgMar w:left="320" w:top="452" w:right="5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 of Class A Ordinary Shares</w:t>
      </w:r>
    </w:p>
    <w:p>
      <w:pPr>
        <w:spacing w:after="0" w:line="114" w:lineRule="exact"/>
        <w:rPr>
          <w:sz w:val="20"/>
          <w:szCs w:val="20"/>
          <w:color w:val="auto"/>
        </w:rPr>
      </w:pPr>
    </w:p>
    <w:p>
      <w:pPr>
        <w:ind w:left="200" w:right="80" w:firstLine="434"/>
        <w:spacing w:after="0" w:line="253" w:lineRule="auto"/>
        <w:rPr>
          <w:sz w:val="20"/>
          <w:szCs w:val="20"/>
          <w:color w:val="auto"/>
        </w:rPr>
      </w:pPr>
      <w:r>
        <w:rPr>
          <w:rFonts w:ascii="Times New Roman" w:cs="Times New Roman" w:eastAsia="Times New Roman" w:hAnsi="Times New Roman"/>
          <w:sz w:val="18"/>
          <w:szCs w:val="18"/>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85"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76"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(e.g.,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114" w:lineRule="exact"/>
        <w:rPr>
          <w:sz w:val="20"/>
          <w:szCs w:val="20"/>
          <w:color w:val="auto"/>
        </w:rPr>
      </w:pPr>
    </w:p>
    <w:p>
      <w:pPr>
        <w:ind w:left="200" w:right="20" w:firstLine="434"/>
        <w:spacing w:after="0" w:line="305" w:lineRule="auto"/>
        <w:rPr>
          <w:sz w:val="20"/>
          <w:szCs w:val="20"/>
          <w:color w:val="auto"/>
        </w:rPr>
      </w:pPr>
      <w:r>
        <w:rPr>
          <w:rFonts w:ascii="Times New Roman" w:cs="Times New Roman" w:eastAsia="Times New Roman" w:hAnsi="Times New Roman"/>
          <w:sz w:val="17"/>
          <w:szCs w:val="17"/>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41"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we request such rights be made available to holders of ADSs,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depositary will not distribute the rights to you if:</w:t>
      </w:r>
    </w:p>
    <w:p>
      <w:pPr>
        <w:spacing w:after="0" w:line="125" w:lineRule="exact"/>
        <w:rPr>
          <w:sz w:val="20"/>
          <w:szCs w:val="20"/>
          <w:color w:val="auto"/>
        </w:rPr>
      </w:pPr>
    </w:p>
    <w:p>
      <w:pPr>
        <w:ind w:left="1160" w:hanging="429"/>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in not reasonably practicable; or</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18" w:lineRule="exact"/>
        <w:rPr>
          <w:sz w:val="20"/>
          <w:szCs w:val="20"/>
          <w:color w:val="auto"/>
        </w:rPr>
      </w:pPr>
    </w:p>
    <w:p>
      <w:pPr>
        <w:ind w:left="200" w:right="160" w:firstLine="434"/>
        <w:spacing w:after="0" w:line="305" w:lineRule="auto"/>
        <w:rPr>
          <w:sz w:val="20"/>
          <w:szCs w:val="20"/>
          <w:color w:val="auto"/>
        </w:rPr>
      </w:pPr>
      <w:r>
        <w:rPr>
          <w:rFonts w:ascii="Times New Roman" w:cs="Times New Roman" w:eastAsia="Times New Roman" w:hAnsi="Times New Roman"/>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20"/>
          </w:cols>
          <w:pgMar w:left="320" w:top="452" w:right="5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114"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we request and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200" w:right="420" w:firstLine="434"/>
        <w:spacing w:after="0" w:line="275"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114" w:lineRule="exact"/>
        <w:rPr>
          <w:sz w:val="20"/>
          <w:szCs w:val="20"/>
          <w:color w:val="auto"/>
        </w:rPr>
      </w:pPr>
    </w:p>
    <w:p>
      <w:pPr>
        <w:jc w:val="both"/>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request such rights be made available to you and provide to the depositary all of the documentation contemplated in the deposit agreement, the depositary will distribute the property to the holders in a manner it deems practicable.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distribution will be made net of fees, expenses, taxes and governmental charges payable by holders under the terms of the deposit agreement.</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order to pay such taxes and governmental charges, the depositary may sell all or a portion of the property received.</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depositary will not distribute the property to you and will sell the property if:</w:t>
      </w:r>
    </w:p>
    <w:p>
      <w:pPr>
        <w:spacing w:after="0" w:line="125" w:lineRule="exact"/>
        <w:rPr>
          <w:sz w:val="20"/>
          <w:szCs w:val="20"/>
          <w:color w:val="auto"/>
        </w:rPr>
      </w:pPr>
    </w:p>
    <w:p>
      <w:pPr>
        <w:ind w:left="1160" w:hanging="429"/>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14" w:lineRule="exact"/>
        <w:rPr>
          <w:sz w:val="20"/>
          <w:szCs w:val="20"/>
          <w:color w:val="auto"/>
        </w:rPr>
      </w:pPr>
    </w:p>
    <w:p>
      <w:pPr>
        <w:ind w:left="200" w:right="20" w:firstLine="434"/>
        <w:spacing w:after="0" w:line="275"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4"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40"/>
          </w:cols>
          <w:pgMar w:left="320" w:top="452" w:right="5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Changes Affecting Class A Ordinary shares</w:t>
      </w:r>
    </w:p>
    <w:p>
      <w:pPr>
        <w:spacing w:after="0" w:line="114"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The Class A ordinary shares held on deposit for your ADSs may change from time to time. For instance, there may be a change in nominal or par value, split-up, cancelation, consolidation or any other reclassification of such Class A ordinary shares or a recapitalization, reorganization, merger, consolidation or sale of our assets.</w:t>
      </w:r>
    </w:p>
    <w:p>
      <w:pPr>
        <w:spacing w:after="0" w:line="176" w:lineRule="exact"/>
        <w:rPr>
          <w:sz w:val="20"/>
          <w:szCs w:val="20"/>
          <w:color w:val="auto"/>
        </w:rPr>
      </w:pPr>
    </w:p>
    <w:p>
      <w:pPr>
        <w:ind w:left="200" w:firstLine="434"/>
        <w:spacing w:after="0" w:line="272" w:lineRule="auto"/>
        <w:rPr>
          <w:sz w:val="20"/>
          <w:szCs w:val="20"/>
          <w:color w:val="auto"/>
        </w:rPr>
      </w:pPr>
      <w:r>
        <w:rPr>
          <w:rFonts w:ascii="Times New Roman" w:cs="Times New Roman" w:eastAsia="Times New Roman" w:hAnsi="Times New Roman"/>
          <w:sz w:val="17"/>
          <w:szCs w:val="17"/>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Issuance of ADSs upon Deposit of Class A Ordinary Shares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Upon completion of the offering, the Class A ordinary shares being offered pursuant to the prospectus will be deposited by us with the custodian.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Upon receipt of confirmation of such deposit, the depositary will issue ADSs to the underwriters named in the prospectus.</w:t>
      </w:r>
    </w:p>
    <w:p>
      <w:pPr>
        <w:spacing w:after="0" w:line="199"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After the closing of the offer, the depositary may create ADSs on your behalf if you or your broker deposit Class A ordinary shares with the custodian and provide the certifications and documentation required by the deposit agreement.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spacing w:after="0" w:line="185" w:lineRule="exact"/>
        <w:rPr>
          <w:sz w:val="20"/>
          <w:szCs w:val="20"/>
          <w:color w:val="auto"/>
        </w:rPr>
      </w:pPr>
    </w:p>
    <w:p>
      <w:pPr>
        <w:ind w:left="200" w:right="80" w:firstLine="434"/>
        <w:spacing w:after="0" w:line="275"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64" w:lineRule="exact"/>
        <w:rPr>
          <w:sz w:val="20"/>
          <w:szCs w:val="20"/>
          <w:color w:val="auto"/>
        </w:rPr>
      </w:pPr>
    </w:p>
    <w:p>
      <w:pPr>
        <w:ind w:left="200" w:right="140" w:firstLine="434"/>
        <w:spacing w:after="0" w:line="275" w:lineRule="auto"/>
        <w:rPr>
          <w:sz w:val="20"/>
          <w:szCs w:val="20"/>
          <w:color w:val="auto"/>
        </w:rPr>
      </w:pPr>
      <w:r>
        <w:rPr>
          <w:rFonts w:ascii="Times New Roman" w:cs="Times New Roman" w:eastAsia="Times New Roman" w:hAnsi="Times New Roman"/>
          <w:sz w:val="18"/>
          <w:szCs w:val="18"/>
          <w:color w:val="auto"/>
        </w:rPr>
        <w:t>When you make a deposit of Class A ordinary shares, you will be responsible for transferring good and valid title to the depositary. As such, you will be deemed to represent and warrant that:</w:t>
      </w:r>
    </w:p>
    <w:p>
      <w:pPr>
        <w:spacing w:after="0" w:line="71" w:lineRule="exact"/>
        <w:rPr>
          <w:sz w:val="20"/>
          <w:szCs w:val="20"/>
          <w:color w:val="auto"/>
        </w:rPr>
      </w:pPr>
    </w:p>
    <w:p>
      <w:pPr>
        <w:ind w:left="1160" w:hanging="429"/>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duly authorized, validly issued, fully paid, non-assessable and legally obtained.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ordinary shares have been validly waived or exercised.</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ordinary shares.</w:t>
      </w:r>
    </w:p>
    <w:p>
      <w:pPr>
        <w:spacing w:after="0" w:line="125" w:lineRule="exact"/>
        <w:rPr>
          <w:rFonts w:ascii="Times New Roman" w:cs="Times New Roman" w:eastAsia="Times New Roman" w:hAnsi="Times New Roman"/>
          <w:sz w:val="18"/>
          <w:szCs w:val="18"/>
          <w:color w:val="auto"/>
        </w:rPr>
      </w:pPr>
    </w:p>
    <w:p>
      <w:pPr>
        <w:ind w:left="1160" w:right="500" w:hanging="429"/>
        <w:spacing w:after="0" w:line="261" w:lineRule="auto"/>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2"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have not been stripped of any rights or entitlements.</w:t>
      </w:r>
    </w:p>
    <w:p>
      <w:pPr>
        <w:spacing w:after="0" w:line="218"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14" w:lineRule="exact"/>
        <w:rPr>
          <w:sz w:val="20"/>
          <w:szCs w:val="20"/>
          <w:color w:val="auto"/>
        </w:rPr>
      </w:pPr>
    </w:p>
    <w:p>
      <w:pPr>
        <w:ind w:left="200" w:right="160" w:firstLine="434"/>
        <w:spacing w:after="0" w:line="275"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1" w:lineRule="exact"/>
        <w:rPr>
          <w:sz w:val="20"/>
          <w:szCs w:val="20"/>
          <w:color w:val="auto"/>
        </w:rPr>
      </w:pPr>
    </w:p>
    <w:p>
      <w:pPr>
        <w:ind w:left="5500" w:right="3160" w:hanging="4769"/>
        <w:spacing w:after="0" w:line="445" w:lineRule="auto"/>
        <w:tabs>
          <w:tab w:leader="none" w:pos="11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 205</w:t>
      </w:r>
    </w:p>
    <w:p>
      <w:pPr>
        <w:sectPr>
          <w:pgSz w:w="11900" w:h="16838" w:orient="portrait"/>
          <w:cols w:equalWidth="0" w:num="1">
            <w:col w:w="11020"/>
          </w:cols>
          <w:pgMar w:left="320" w:top="452" w:right="5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hanging="429"/>
        <w:spacing w:after="0"/>
        <w:tabs>
          <w:tab w:leader="none" w:pos="1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25" w:lineRule="exact"/>
        <w:rPr>
          <w:rFonts w:ascii="Times New Roman" w:cs="Times New Roman" w:eastAsia="Times New Roman" w:hAnsi="Times New Roman"/>
          <w:sz w:val="18"/>
          <w:szCs w:val="18"/>
          <w:color w:val="auto"/>
        </w:rPr>
      </w:pPr>
    </w:p>
    <w:p>
      <w:pPr>
        <w:ind w:left="1160" w:right="480" w:hanging="429"/>
        <w:spacing w:after="0" w:line="275" w:lineRule="auto"/>
        <w:tabs>
          <w:tab w:leader="none" w:pos="1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4" w:lineRule="exact"/>
        <w:rPr>
          <w:sz w:val="20"/>
          <w:szCs w:val="20"/>
          <w:color w:val="auto"/>
        </w:rPr>
      </w:pPr>
    </w:p>
    <w:p>
      <w:pPr>
        <w:ind w:left="200" w:right="500" w:firstLine="434"/>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Withdrawal of Class A Ordinary Shares Upon Cancelation of ADSs</w:t>
      </w:r>
    </w:p>
    <w:p>
      <w:pPr>
        <w:spacing w:after="0" w:line="114"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cancelation and then receive the corresponding number of underlying Class A ordinary shares at the custodian’s offices. Your ability to withdraw the Class A ordinary shares held in respect of the ADSs may be limited by U.S. and Cayman Islands law considerations applicable at the time of withdrawal. In order to withdraw the Class A ordinary shares represented by your ADSs, you will be required to pay to the depositary the fees for cancelation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85"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cancelation that represent a whole number of securities on deposit.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25" w:lineRule="exact"/>
        <w:rPr>
          <w:sz w:val="20"/>
          <w:szCs w:val="20"/>
          <w:color w:val="auto"/>
        </w:rPr>
      </w:pPr>
    </w:p>
    <w:p>
      <w:pPr>
        <w:ind w:left="1160" w:right="20" w:hanging="429"/>
        <w:spacing w:after="0" w:line="275" w:lineRule="auto"/>
        <w:tabs>
          <w:tab w:leader="none" w:pos="1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18" w:lineRule="exact"/>
        <w:rPr>
          <w:sz w:val="20"/>
          <w:szCs w:val="20"/>
          <w:color w:val="auto"/>
        </w:rPr>
      </w:pPr>
    </w:p>
    <w:p>
      <w:pPr>
        <w:ind w:left="200" w:right="400" w:firstLine="434"/>
        <w:spacing w:after="0" w:line="275"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4" w:lineRule="exact"/>
        <w:rPr>
          <w:sz w:val="20"/>
          <w:szCs w:val="20"/>
          <w:color w:val="auto"/>
        </w:rPr>
      </w:pPr>
    </w:p>
    <w:p>
      <w:pPr>
        <w:ind w:left="200" w:right="380" w:firstLine="434"/>
        <w:spacing w:after="0" w:line="305" w:lineRule="auto"/>
        <w:rPr>
          <w:sz w:val="20"/>
          <w:szCs w:val="20"/>
          <w:color w:val="auto"/>
        </w:rPr>
      </w:pPr>
      <w:r>
        <w:rPr>
          <w:rFonts w:ascii="Times New Roman" w:cs="Times New Roman" w:eastAsia="Times New Roman" w:hAnsi="Times New Roman"/>
          <w:sz w:val="17"/>
          <w:szCs w:val="17"/>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“Description of Share Capital.”</w:t>
      </w:r>
    </w:p>
    <w:p>
      <w:pPr>
        <w:spacing w:after="0" w:line="141" w:lineRule="exact"/>
        <w:rPr>
          <w:sz w:val="20"/>
          <w:szCs w:val="20"/>
          <w:color w:val="auto"/>
        </w:rPr>
      </w:pPr>
    </w:p>
    <w:p>
      <w:pPr>
        <w:jc w:val="both"/>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00"/>
          </w:cols>
          <w:pgMar w:left="320" w:top="452" w:right="5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represented by the holder’s ADSs as follows:</w:t>
      </w:r>
    </w:p>
    <w:p>
      <w:pPr>
        <w:spacing w:after="0" w:line="104" w:lineRule="exact"/>
        <w:rPr>
          <w:sz w:val="20"/>
          <w:szCs w:val="20"/>
          <w:color w:val="auto"/>
        </w:rPr>
      </w:pPr>
    </w:p>
    <w:p>
      <w:pPr>
        <w:ind w:left="1160" w:right="100" w:hanging="429"/>
        <w:spacing w:after="0" w:line="277" w:lineRule="auto"/>
        <w:tabs>
          <w:tab w:leader="none" w:pos="1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the event </w:t>
      </w:r>
      <w:r>
        <w:rPr>
          <w:rFonts w:ascii="Times New Roman" w:cs="Times New Roman" w:eastAsia="Times New Roman" w:hAnsi="Times New Roman"/>
          <w:sz w:val="18"/>
          <w:szCs w:val="18"/>
          <w:color w:val="auto"/>
        </w:rPr>
        <w:t>of voting by show of hands, the depositary will instruct the custodian to refrain from voting and the voting instructions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voting instructions) received from holders of ADSs shall lapse.</w:t>
      </w:r>
    </w:p>
    <w:p>
      <w:pPr>
        <w:spacing w:after="0" w:line="67" w:lineRule="exact"/>
        <w:rPr>
          <w:rFonts w:ascii="Times New Roman" w:cs="Times New Roman" w:eastAsia="Times New Roman" w:hAnsi="Times New Roman"/>
          <w:sz w:val="18"/>
          <w:szCs w:val="18"/>
          <w:color w:val="auto"/>
        </w:rPr>
      </w:pPr>
    </w:p>
    <w:p>
      <w:pPr>
        <w:ind w:left="1160" w:right="540" w:hanging="429"/>
        <w:spacing w:after="0" w:line="277" w:lineRule="auto"/>
        <w:tabs>
          <w:tab w:leader="none" w:pos="1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the event </w:t>
      </w:r>
      <w:r>
        <w:rPr>
          <w:rFonts w:ascii="Times New Roman" w:cs="Times New Roman" w:eastAsia="Times New Roman" w:hAnsi="Times New Roman"/>
          <w:sz w:val="18"/>
          <w:szCs w:val="18"/>
          <w:color w:val="auto"/>
        </w:rPr>
        <w:t>of voting by poll, the depositary will vote (or cause the custodian to vote) the Class A ordinary shares held on deposit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voting instructions received from the holders of ADSs.</w:t>
      </w:r>
    </w:p>
    <w:p>
      <w:pPr>
        <w:spacing w:after="0" w:line="162"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proxy to a person designated by us to vote the Class A ordinary shares represented by such holders’ ADSs in a manner consistent with the recommendation(s) made by the company’s board of directors as set forth in the proxy statement or other voting materials in connection with the matter(s) submitted for voting; provided, however, that no such proxy shall be given with respect to any matter to be voted upon as to which we inform the depositary that (i) we do not wish such proxy to be given, (ii) substantial opposition exists, or (iii) the rights of holders of Class A ordinary shares may be adversely affected, 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8"/>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38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 Issuance of ADSs (e.g., an issuance of ADS upon a deposit of Class A</w:t>
            </w:r>
          </w:p>
        </w:tc>
        <w:tc>
          <w:tcPr>
            <w:tcW w:w="200" w:type="dxa"/>
            <w:vAlign w:val="bottom"/>
          </w:tcPr>
          <w:p>
            <w:pPr>
              <w:spacing w:after="0"/>
              <w:rPr>
                <w:sz w:val="16"/>
                <w:szCs w:val="16"/>
                <w:color w:val="auto"/>
              </w:rPr>
            </w:pPr>
          </w:p>
        </w:tc>
        <w:tc>
          <w:tcPr>
            <w:tcW w:w="51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ordinary shares, upon a change in the ADS(s)-to-Class A ordinary</w:t>
            </w:r>
          </w:p>
        </w:tc>
        <w:tc>
          <w:tcPr>
            <w:tcW w:w="5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ratio, or for any other reason), excluding ADS issuances as a</w:t>
            </w:r>
          </w:p>
        </w:tc>
        <w:tc>
          <w:tcPr>
            <w:tcW w:w="51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result of distributions of Class A ordinary shares</w:t>
            </w:r>
          </w:p>
        </w:tc>
        <w:tc>
          <w:tcPr>
            <w:tcW w:w="5100" w:type="dxa"/>
            <w:vAlign w:val="bottom"/>
          </w:tcPr>
          <w:p>
            <w:pPr>
              <w:spacing w:after="0"/>
              <w:rPr>
                <w:sz w:val="20"/>
                <w:szCs w:val="20"/>
                <w:color w:val="auto"/>
              </w:rPr>
            </w:pP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 Cancelation of ADSs (e.g., a cancelation of ADSs for delivery of Class A</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ordinary shares, upon a change in the ADS(s)-to-Class A ordinary</w:t>
            </w:r>
          </w:p>
        </w:tc>
        <w:tc>
          <w:tcPr>
            <w:tcW w:w="51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ratio, or for any other reason)</w:t>
            </w:r>
          </w:p>
        </w:tc>
        <w:tc>
          <w:tcPr>
            <w:tcW w:w="5100" w:type="dxa"/>
            <w:vAlign w:val="bottom"/>
          </w:tcPr>
          <w:p>
            <w:pPr>
              <w:spacing w:after="0"/>
              <w:rPr>
                <w:sz w:val="20"/>
                <w:szCs w:val="20"/>
                <w:color w:val="auto"/>
              </w:rPr>
            </w:pP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 sale</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rights and other entitlements)</w:t>
            </w:r>
          </w:p>
        </w:tc>
        <w:tc>
          <w:tcPr>
            <w:tcW w:w="5100" w:type="dxa"/>
            <w:vAlign w:val="bottom"/>
          </w:tcPr>
          <w:p>
            <w:pPr>
              <w:spacing w:after="0"/>
              <w:rPr>
                <w:sz w:val="20"/>
                <w:szCs w:val="20"/>
                <w:color w:val="auto"/>
              </w:rPr>
            </w:pP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5100" w:type="dxa"/>
            <w:vAlign w:val="bottom"/>
          </w:tcPr>
          <w:p>
            <w:pPr>
              <w:spacing w:after="0"/>
              <w:rPr>
                <w:sz w:val="20"/>
                <w:szCs w:val="20"/>
                <w:color w:val="auto"/>
              </w:rPr>
            </w:pP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ADSs (e.g., upon a spin-off)</w:t>
            </w:r>
          </w:p>
        </w:tc>
        <w:tc>
          <w:tcPr>
            <w:tcW w:w="5100" w:type="dxa"/>
            <w:vAlign w:val="bottom"/>
          </w:tcPr>
          <w:p>
            <w:pPr>
              <w:spacing w:after="0"/>
              <w:rPr>
                <w:sz w:val="20"/>
                <w:szCs w:val="20"/>
                <w:color w:val="auto"/>
              </w:rPr>
            </w:pP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0"/>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(e.g., upon a registration of the transfer of</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transferred</w:t>
            </w: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registered ownership of</w:t>
            </w:r>
          </w:p>
        </w:tc>
        <w:tc>
          <w:tcPr>
            <w:tcW w:w="5100" w:type="dxa"/>
            <w:vAlign w:val="bottom"/>
          </w:tcPr>
          <w:p>
            <w:pPr>
              <w:spacing w:after="0"/>
              <w:rPr>
                <w:sz w:val="20"/>
                <w:szCs w:val="20"/>
                <w:color w:val="auto"/>
              </w:rPr>
            </w:pPr>
          </w:p>
        </w:tc>
      </w:tr>
      <w:tr>
        <w:trPr>
          <w:trHeight w:val="3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207</w:t>
            </w:r>
          </w:p>
        </w:tc>
        <w:tc>
          <w:tcPr>
            <w:tcW w:w="510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8"/>
        </w:trPr>
        <w:tc>
          <w:tcPr>
            <w:tcW w:w="20" w:type="dxa"/>
            <w:vAlign w:val="bottom"/>
          </w:tcPr>
          <w:p>
            <w:pPr>
              <w:spacing w:after="0"/>
              <w:rPr>
                <w:sz w:val="16"/>
                <w:szCs w:val="16"/>
                <w:color w:val="auto"/>
              </w:rPr>
            </w:pPr>
          </w:p>
        </w:tc>
        <w:tc>
          <w:tcPr>
            <w:tcW w:w="55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ADSs, upon a transfer of ADSs into DTC and vice versa, or for any other</w:t>
            </w:r>
          </w:p>
        </w:tc>
        <w:tc>
          <w:tcPr>
            <w:tcW w:w="200" w:type="dxa"/>
            <w:vAlign w:val="bottom"/>
          </w:tcPr>
          <w:p>
            <w:pPr>
              <w:spacing w:after="0"/>
              <w:rPr>
                <w:sz w:val="16"/>
                <w:szCs w:val="16"/>
                <w:color w:val="auto"/>
              </w:rPr>
            </w:pPr>
          </w:p>
        </w:tc>
        <w:tc>
          <w:tcPr>
            <w:tcW w:w="5100" w:type="dxa"/>
            <w:vAlign w:val="bottom"/>
            <w:tcBorders>
              <w:top w:val="single" w:sz="8" w:color="auto"/>
            </w:tcBorders>
          </w:tcPr>
          <w:p>
            <w:pPr>
              <w:spacing w:after="0"/>
              <w:rPr>
                <w:sz w:val="16"/>
                <w:szCs w:val="16"/>
                <w:color w:val="auto"/>
              </w:rPr>
            </w:pPr>
          </w:p>
        </w:tc>
      </w:tr>
      <w:tr>
        <w:trPr>
          <w:trHeight w:val="2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30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 Conversion of ADSs of one series for ADSs of another series (e.g., upon</w:t>
            </w:r>
          </w:p>
        </w:tc>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Up to US$0.05 per ADS converted</w:t>
            </w: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Partial Entitlement ADSs for Full Entitlement ADSs, or</w:t>
            </w:r>
          </w:p>
        </w:tc>
        <w:tc>
          <w:tcPr>
            <w:tcW w:w="2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upon conversion of Restricted ADSs (each as defined in the Deposit</w:t>
            </w:r>
          </w:p>
        </w:tc>
        <w:tc>
          <w:tcPr>
            <w:tcW w:w="2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into freely transferable ADSs, and vice versa).</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25" w:lineRule="exact"/>
        <w:rPr>
          <w:sz w:val="20"/>
          <w:szCs w:val="20"/>
          <w:color w:val="auto"/>
        </w:rPr>
      </w:pPr>
    </w:p>
    <w:p>
      <w:pPr>
        <w:ind w:left="1160" w:hanging="429"/>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25" w:lineRule="exact"/>
        <w:rPr>
          <w:rFonts w:ascii="Times New Roman" w:cs="Times New Roman" w:eastAsia="Times New Roman" w:hAnsi="Times New Roman"/>
          <w:sz w:val="18"/>
          <w:szCs w:val="18"/>
          <w:color w:val="auto"/>
        </w:rPr>
      </w:pPr>
    </w:p>
    <w:p>
      <w:pPr>
        <w:ind w:left="1160" w:right="60" w:hanging="429"/>
        <w:spacing w:after="0" w:line="261" w:lineRule="auto"/>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82"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25" w:lineRule="exact"/>
        <w:rPr>
          <w:rFonts w:ascii="Times New Roman" w:cs="Times New Roman" w:eastAsia="Times New Roman" w:hAnsi="Times New Roman"/>
          <w:sz w:val="18"/>
          <w:szCs w:val="18"/>
          <w:color w:val="auto"/>
        </w:rPr>
      </w:pPr>
    </w:p>
    <w:p>
      <w:pPr>
        <w:ind w:left="1160" w:right="80" w:hanging="429"/>
        <w:spacing w:after="0" w:line="275" w:lineRule="auto"/>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70" w:lineRule="exact"/>
        <w:rPr>
          <w:rFonts w:ascii="Times New Roman" w:cs="Times New Roman" w:eastAsia="Times New Roman" w:hAnsi="Times New Roman"/>
          <w:sz w:val="18"/>
          <w:szCs w:val="18"/>
          <w:color w:val="auto"/>
        </w:rPr>
      </w:pPr>
    </w:p>
    <w:p>
      <w:pPr>
        <w:ind w:left="1160" w:right="700" w:hanging="429"/>
        <w:spacing w:after="0" w:line="275" w:lineRule="auto"/>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foreign currency conversions, compliance with exchange control regulations and other regulatory requirements;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fees, charges, costs and expenses incurred by the depositary, the custodian, or any nominee in connection with the ADR program; and</w:t>
      </w:r>
    </w:p>
    <w:p>
      <w:pPr>
        <w:spacing w:after="0" w:line="136" w:lineRule="exact"/>
        <w:rPr>
          <w:rFonts w:ascii="Times New Roman" w:cs="Times New Roman" w:eastAsia="Times New Roman" w:hAnsi="Times New Roman"/>
          <w:sz w:val="17"/>
          <w:szCs w:val="17"/>
          <w:color w:val="auto"/>
        </w:rPr>
      </w:pPr>
    </w:p>
    <w:p>
      <w:pPr>
        <w:ind w:left="1160" w:right="140" w:hanging="429"/>
        <w:spacing w:after="0" w:line="275" w:lineRule="auto"/>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4" w:lineRule="exact"/>
        <w:rPr>
          <w:sz w:val="20"/>
          <w:szCs w:val="20"/>
          <w:color w:val="auto"/>
        </w:rPr>
      </w:pPr>
    </w:p>
    <w:p>
      <w:pPr>
        <w:ind w:left="200" w:right="20" w:firstLine="434"/>
        <w:spacing w:after="0" w:line="248"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left="200" w:right="180" w:firstLine="434"/>
        <w:spacing w:after="0" w:line="275"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60"/>
          </w:cols>
          <w:pgMar w:left="320" w:top="452"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14" w:lineRule="exact"/>
        <w:rPr>
          <w:sz w:val="20"/>
          <w:szCs w:val="20"/>
          <w:color w:val="auto"/>
        </w:rPr>
      </w:pPr>
    </w:p>
    <w:p>
      <w:pPr>
        <w:ind w:left="200" w:right="80" w:firstLine="434"/>
        <w:spacing w:after="0" w:line="276" w:lineRule="auto"/>
        <w:rPr>
          <w:sz w:val="20"/>
          <w:szCs w:val="20"/>
          <w:color w:val="auto"/>
        </w:rPr>
      </w:pPr>
      <w:r>
        <w:rPr>
          <w:rFonts w:ascii="Times New Roman" w:cs="Times New Roman" w:eastAsia="Times New Roman" w:hAnsi="Times New Roman"/>
          <w:sz w:val="17"/>
          <w:szCs w:val="17"/>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w:t>
      </w:r>
    </w:p>
    <w:p>
      <w:pPr>
        <w:spacing w:after="0" w:line="164" w:lineRule="exact"/>
        <w:rPr>
          <w:sz w:val="20"/>
          <w:szCs w:val="20"/>
          <w:color w:val="auto"/>
        </w:rPr>
      </w:pPr>
    </w:p>
    <w:p>
      <w:pPr>
        <w:ind w:left="200" w:right="820" w:firstLine="434"/>
        <w:spacing w:after="0" w:line="275" w:lineRule="auto"/>
        <w:rPr>
          <w:sz w:val="20"/>
          <w:szCs w:val="20"/>
          <w:color w:val="auto"/>
        </w:rPr>
      </w:pPr>
      <w:r>
        <w:rPr>
          <w:rFonts w:ascii="Times New Roman" w:cs="Times New Roman" w:eastAsia="Times New Roman" w:hAnsi="Times New Roman"/>
          <w:sz w:val="18"/>
          <w:szCs w:val="18"/>
          <w:color w:val="auto"/>
        </w:rPr>
        <w:t>In addition, we may not be able to provide you with prior notice of any modifications or supplements that are required to accommodate compliance with applicable provisions of law.</w:t>
      </w:r>
    </w:p>
    <w:p>
      <w:pPr>
        <w:spacing w:after="0" w:line="164" w:lineRule="exact"/>
        <w:rPr>
          <w:sz w:val="20"/>
          <w:szCs w:val="20"/>
          <w:color w:val="auto"/>
        </w:rPr>
      </w:pPr>
    </w:p>
    <w:p>
      <w:pPr>
        <w:ind w:left="200" w:right="260" w:firstLine="434"/>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76" w:lineRule="exact"/>
        <w:rPr>
          <w:sz w:val="20"/>
          <w:szCs w:val="20"/>
          <w:color w:val="auto"/>
        </w:rPr>
      </w:pPr>
    </w:p>
    <w:p>
      <w:pPr>
        <w:ind w:left="200" w:right="280" w:firstLine="434"/>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left="200" w:right="80" w:firstLine="434"/>
        <w:spacing w:after="0" w:line="276" w:lineRule="auto"/>
        <w:rPr>
          <w:sz w:val="20"/>
          <w:szCs w:val="20"/>
          <w:color w:val="auto"/>
        </w:rPr>
      </w:pPr>
      <w:r>
        <w:rPr>
          <w:rFonts w:ascii="Times New Roman" w:cs="Times New Roman" w:eastAsia="Times New Roman" w:hAnsi="Times New Roman"/>
          <w:sz w:val="17"/>
          <w:szCs w:val="17"/>
          <w:color w:val="auto"/>
        </w:rPr>
        <w:t>After termination, the depositary will continue to collect distributions received (but will not distribute any such property until you request the cancelation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64"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14" w:lineRule="exact"/>
        <w:rPr>
          <w:sz w:val="20"/>
          <w:szCs w:val="20"/>
          <w:color w:val="auto"/>
        </w:rPr>
      </w:pPr>
    </w:p>
    <w:p>
      <w:pPr>
        <w:ind w:left="200" w:right="60" w:firstLine="434"/>
        <w:spacing w:after="0" w:line="305"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cancelation, combination, split-up and transfer of ADSs.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40"/>
          </w:cols>
          <w:pgMar w:left="320" w:top="452" w:right="5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125" w:lineRule="exact"/>
        <w:rPr>
          <w:sz w:val="20"/>
          <w:szCs w:val="20"/>
          <w:color w:val="auto"/>
        </w:rPr>
      </w:pPr>
    </w:p>
    <w:p>
      <w:pPr>
        <w:ind w:left="1160" w:hanging="429"/>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125" w:lineRule="exact"/>
        <w:rPr>
          <w:rFonts w:ascii="Times New Roman" w:cs="Times New Roman" w:eastAsia="Times New Roman" w:hAnsi="Times New Roman"/>
          <w:sz w:val="18"/>
          <w:szCs w:val="18"/>
          <w:color w:val="auto"/>
        </w:rPr>
      </w:pPr>
    </w:p>
    <w:p>
      <w:pPr>
        <w:ind w:left="116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0" w:lineRule="exact"/>
        <w:rPr>
          <w:rFonts w:ascii="Times New Roman" w:cs="Times New Roman" w:eastAsia="Times New Roman" w:hAnsi="Times New Roman"/>
          <w:sz w:val="18"/>
          <w:szCs w:val="18"/>
          <w:color w:val="auto"/>
        </w:rPr>
      </w:pPr>
    </w:p>
    <w:p>
      <w:pPr>
        <w:ind w:left="1160" w:hanging="429"/>
        <w:spacing w:after="0" w:line="253"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2" w:lineRule="exact"/>
        <w:rPr>
          <w:rFonts w:ascii="Times New Roman" w:cs="Times New Roman" w:eastAsia="Times New Roman" w:hAnsi="Times New Roman"/>
          <w:sz w:val="18"/>
          <w:szCs w:val="18"/>
          <w:color w:val="auto"/>
        </w:rPr>
      </w:pPr>
    </w:p>
    <w:p>
      <w:pPr>
        <w:ind w:left="1160" w:right="54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any liability for any action or inaction of any clearing or settlement system (and any participant thereof) for the ADSs or deposited securities.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125" w:lineRule="exact"/>
        <w:rPr>
          <w:rFonts w:ascii="Times New Roman" w:cs="Times New Roman" w:eastAsia="Times New Roman" w:hAnsi="Times New Roman"/>
          <w:sz w:val="18"/>
          <w:szCs w:val="18"/>
          <w:color w:val="auto"/>
        </w:rPr>
      </w:pPr>
    </w:p>
    <w:p>
      <w:pPr>
        <w:ind w:left="1160" w:right="120" w:hanging="429"/>
        <w:spacing w:after="0" w:line="253"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92" w:lineRule="exact"/>
        <w:rPr>
          <w:rFonts w:ascii="Times New Roman" w:cs="Times New Roman" w:eastAsia="Times New Roman" w:hAnsi="Times New Roman"/>
          <w:sz w:val="18"/>
          <w:szCs w:val="18"/>
          <w:color w:val="auto"/>
        </w:rPr>
      </w:pPr>
    </w:p>
    <w:p>
      <w:pPr>
        <w:ind w:left="1160" w:right="16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memorandum and articles of association or in any provisions of or governing the securities on deposit.</w:t>
      </w:r>
    </w:p>
    <w:p>
      <w:pPr>
        <w:spacing w:after="0" w:line="70" w:lineRule="exact"/>
        <w:rPr>
          <w:rFonts w:ascii="Times New Roman" w:cs="Times New Roman" w:eastAsia="Times New Roman" w:hAnsi="Times New Roman"/>
          <w:sz w:val="18"/>
          <w:szCs w:val="18"/>
          <w:color w:val="auto"/>
        </w:rPr>
      </w:pPr>
    </w:p>
    <w:p>
      <w:pPr>
        <w:ind w:left="1160" w:right="140" w:hanging="429"/>
        <w:spacing w:after="0" w:line="261"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82" w:lineRule="exact"/>
        <w:rPr>
          <w:rFonts w:ascii="Times New Roman" w:cs="Times New Roman" w:eastAsia="Times New Roman" w:hAnsi="Times New Roman"/>
          <w:sz w:val="18"/>
          <w:szCs w:val="18"/>
          <w:color w:val="auto"/>
        </w:rPr>
      </w:pPr>
    </w:p>
    <w:p>
      <w:pPr>
        <w:jc w:val="both"/>
        <w:ind w:left="1160" w:right="260" w:hanging="429"/>
        <w:spacing w:after="0" w:line="305" w:lineRule="auto"/>
        <w:tabs>
          <w:tab w:leader="none" w:pos="11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depositary also disclaim liability for the inability by a holder to benefit from any distribution, offering, right or other benefit that is made available to holders of Class A ordinary shares but is not, under the terms of the deposit agreement, made available to you.</w:t>
      </w:r>
    </w:p>
    <w:p>
      <w:pPr>
        <w:spacing w:after="0" w:line="48" w:lineRule="exact"/>
        <w:rPr>
          <w:rFonts w:ascii="Times New Roman" w:cs="Times New Roman" w:eastAsia="Times New Roman" w:hAnsi="Times New Roman"/>
          <w:sz w:val="17"/>
          <w:szCs w:val="17"/>
          <w:color w:val="auto"/>
        </w:rPr>
      </w:pPr>
    </w:p>
    <w:p>
      <w:pPr>
        <w:ind w:left="1160" w:right="36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70" w:lineRule="exact"/>
        <w:rPr>
          <w:rFonts w:ascii="Times New Roman" w:cs="Times New Roman" w:eastAsia="Times New Roman" w:hAnsi="Times New Roman"/>
          <w:sz w:val="18"/>
          <w:szCs w:val="18"/>
          <w:color w:val="auto"/>
        </w:rPr>
      </w:pPr>
    </w:p>
    <w:p>
      <w:pPr>
        <w:ind w:left="1160" w:right="72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25" w:lineRule="exact"/>
        <w:rPr>
          <w:rFonts w:ascii="Times New Roman" w:cs="Times New Roman" w:eastAsia="Times New Roman" w:hAnsi="Times New Roman"/>
          <w:sz w:val="18"/>
          <w:szCs w:val="18"/>
          <w:color w:val="auto"/>
        </w:rPr>
      </w:pPr>
    </w:p>
    <w:p>
      <w:pPr>
        <w:ind w:left="1160" w:right="70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70" w:lineRule="exact"/>
        <w:rPr>
          <w:rFonts w:ascii="Times New Roman" w:cs="Times New Roman" w:eastAsia="Times New Roman" w:hAnsi="Times New Roman"/>
          <w:sz w:val="18"/>
          <w:szCs w:val="18"/>
          <w:color w:val="auto"/>
        </w:rPr>
      </w:pPr>
    </w:p>
    <w:p>
      <w:pPr>
        <w:ind w:left="1160" w:right="80" w:hanging="429"/>
        <w:spacing w:after="0" w:line="275"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the depositary (or its affiliates) from engaging in transactions in which parties adverse to us or the ADS owners have interests, and nothing in the deposit</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40"/>
          </w:cols>
          <w:pgMar w:left="320" w:top="452" w:right="5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right="140"/>
        <w:spacing w:after="0" w:line="275" w:lineRule="auto"/>
        <w:rPr>
          <w:sz w:val="20"/>
          <w:szCs w:val="20"/>
          <w:color w:val="auto"/>
        </w:rPr>
      </w:pPr>
      <w:r>
        <w:rPr>
          <w:rFonts w:ascii="Times New Roman" w:cs="Times New Roman" w:eastAsia="Times New Roman" w:hAnsi="Times New Roman"/>
          <w:sz w:val="18"/>
          <w:szCs w:val="18"/>
          <w:color w:val="auto"/>
        </w:rPr>
        <w:t>agreement obligates the depositary to disclose those transactions, or any information obtained in the course of those transactions, to us or to the ADS owners, or to account for any payment received as part of those transactions.</w:t>
      </w:r>
    </w:p>
    <w:p>
      <w:pPr>
        <w:spacing w:after="0" w:line="162"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spacing w:after="0" w:line="185" w:lineRule="exact"/>
        <w:rPr>
          <w:sz w:val="20"/>
          <w:szCs w:val="20"/>
          <w:color w:val="auto"/>
        </w:rPr>
      </w:pPr>
    </w:p>
    <w:p>
      <w:pPr>
        <w:jc w:val="both"/>
        <w:ind w:left="200" w:right="200" w:firstLine="434"/>
        <w:spacing w:after="0" w:line="262"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14"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1"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14"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200" w:right="120"/>
        <w:spacing w:after="0" w:line="275"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1" w:lineRule="exact"/>
        <w:rPr>
          <w:sz w:val="20"/>
          <w:szCs w:val="20"/>
          <w:color w:val="auto"/>
        </w:rPr>
      </w:pPr>
    </w:p>
    <w:p>
      <w:pPr>
        <w:ind w:left="1160" w:right="140" w:hanging="429"/>
        <w:spacing w:after="0" w:line="275" w:lineRule="auto"/>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1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20"/>
          </w:cols>
          <w:pgMar w:left="320" w:top="452" w:right="5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14" w:lineRule="exact"/>
        <w:rPr>
          <w:sz w:val="20"/>
          <w:szCs w:val="20"/>
          <w:color w:val="auto"/>
        </w:rPr>
      </w:pPr>
    </w:p>
    <w:p>
      <w:pPr>
        <w:ind w:left="200" w:right="40" w:firstLine="434"/>
        <w:spacing w:after="0" w:line="275"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64" w:lineRule="exact"/>
        <w:rPr>
          <w:sz w:val="20"/>
          <w:szCs w:val="20"/>
          <w:color w:val="auto"/>
        </w:rPr>
      </w:pPr>
    </w:p>
    <w:p>
      <w:pPr>
        <w:ind w:left="200" w:right="40" w:firstLine="434"/>
        <w:spacing w:after="0" w:line="305" w:lineRule="auto"/>
        <w:rPr>
          <w:sz w:val="20"/>
          <w:szCs w:val="20"/>
          <w:color w:val="auto"/>
        </w:rPr>
      </w:pPr>
      <w:r>
        <w:rPr>
          <w:rFonts w:ascii="Times New Roman" w:cs="Times New Roman" w:eastAsia="Times New Roman" w:hAnsi="Times New Roman"/>
          <w:sz w:val="17"/>
          <w:szCs w:val="17"/>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39"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14" w:lineRule="exact"/>
        <w:rPr>
          <w:sz w:val="20"/>
          <w:szCs w:val="20"/>
          <w:color w:val="auto"/>
        </w:rPr>
      </w:pPr>
    </w:p>
    <w:p>
      <w:pPr>
        <w:jc w:val="both"/>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76" w:lineRule="exact"/>
        <w:rPr>
          <w:sz w:val="20"/>
          <w:szCs w:val="20"/>
          <w:color w:val="auto"/>
        </w:rPr>
      </w:pPr>
    </w:p>
    <w:p>
      <w:pPr>
        <w:ind w:left="200" w:right="60" w:firstLine="434"/>
        <w:spacing w:after="0" w:line="251"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40"/>
          </w:cols>
          <w:pgMar w:left="320" w:top="452" w:right="5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0" w:lineRule="exact"/>
        <w:rPr>
          <w:sz w:val="20"/>
          <w:szCs w:val="20"/>
          <w:color w:val="auto"/>
        </w:rPr>
      </w:pPr>
    </w:p>
    <w:p>
      <w:pPr>
        <w:ind w:left="200" w:right="120" w:firstLine="434"/>
        <w:spacing w:after="0" w:line="272" w:lineRule="auto"/>
        <w:rPr>
          <w:sz w:val="20"/>
          <w:szCs w:val="20"/>
          <w:color w:val="auto"/>
        </w:rPr>
      </w:pPr>
      <w:r>
        <w:rPr>
          <w:rFonts w:ascii="Times New Roman" w:cs="Times New Roman" w:eastAsia="Times New Roman" w:hAnsi="Times New Roman"/>
          <w:sz w:val="17"/>
          <w:szCs w:val="17"/>
          <w:color w:val="auto"/>
        </w:rPr>
        <w:t>Upon completion of this offering, assuming no exercise by the underwriters of their option to purchase additional ADSs, we will have 3,250,000 ADSs outstanding representing 9,750,000 Class A ordinary shares, or approximately 5.9% of our issued and outstanding ordinary shares, assuming the underwriters do not exercise their option to purchase additional ADSs. All of the ADSs sold in this offering will be freely transferable by persons other than our “affiliates” (as that term is defined in Rule 144 under the Securities Act) without restriction or further registration under the Securities Act. Sales of substantial amounts of the ADSs in the public market could materially adversely affect prevailing market prices of the ADSs.</w:t>
      </w:r>
    </w:p>
    <w:p>
      <w:pPr>
        <w:spacing w:after="0" w:line="169"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the ADSs. We have been approved to list the ADSs on the Nasdaq Global Market, under the symbol “QSG.” However, we cannot assure you that a regular trading market will develop in the ADSs. Our ordinary shares will not be listed on any exchange or quoted for trading on any over-the-counter trading system. We do not expect that a trading market will develop for our ordinary shares not represented by the ADSs. Future sales of substantial amounts of our ordinary shares or ADSs in the public markets after this offering, or the perception that such sales may occur, could adversely affect market prices prevailing from time to time.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We have agreed, for a period of 180 days after the date of this prospectus, subject to certain exceptions, not to offer, sell, contract to sell, pledge, grant any option or contract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equity incentive plans existing on, or upon the conversion or exchange of convertible or exchangeable securities outstanding as of the date such lock-up agreement was executed), without the prior written consent of the representatives on behalf of the underwriters.</w:t>
      </w:r>
    </w:p>
    <w:p>
      <w:pPr>
        <w:spacing w:after="0" w:line="187" w:lineRule="exact"/>
        <w:rPr>
          <w:sz w:val="20"/>
          <w:szCs w:val="20"/>
          <w:color w:val="auto"/>
        </w:rPr>
      </w:pPr>
    </w:p>
    <w:p>
      <w:pPr>
        <w:jc w:val="both"/>
        <w:ind w:left="200" w:right="40" w:firstLine="434"/>
        <w:spacing w:after="0" w:line="283" w:lineRule="auto"/>
        <w:rPr>
          <w:sz w:val="20"/>
          <w:szCs w:val="20"/>
          <w:color w:val="auto"/>
        </w:rPr>
      </w:pPr>
      <w:r>
        <w:rPr>
          <w:rFonts w:ascii="Times New Roman" w:cs="Times New Roman" w:eastAsia="Times New Roman" w:hAnsi="Times New Roman"/>
          <w:sz w:val="17"/>
          <w:szCs w:val="17"/>
          <w:color w:val="auto"/>
        </w:rPr>
        <w:t>Furthermore, each of our directors and executive officers and existing shareholders has also entered into a similar lock-up agreement for a period of 180 days from the date of this prospectus, subject to certain exceptions, with respect to our ordinary shares, ADSs and securities that are substantially similar to our ordinary shares or ADSs. These parties collectively own all of our outstanding ordinary shares, without giving effect to this offering.</w:t>
      </w:r>
    </w:p>
    <w:p>
      <w:pPr>
        <w:spacing w:after="0" w:line="159"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We have also agreed to instruct Citibank N.A.,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w:t>
      </w:r>
    </w:p>
    <w:p>
      <w:pPr>
        <w:spacing w:after="0" w:line="17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4" w:lineRule="exact"/>
        <w:rPr>
          <w:sz w:val="20"/>
          <w:szCs w:val="20"/>
          <w:color w:val="auto"/>
        </w:rPr>
      </w:pPr>
    </w:p>
    <w:p>
      <w:pPr>
        <w:jc w:val="both"/>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40"/>
          </w:cols>
          <w:pgMar w:left="320" w:top="452" w:right="5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120"/>
        <w:spacing w:after="0" w:line="252" w:lineRule="auto"/>
        <w:rPr>
          <w:sz w:val="20"/>
          <w:szCs w:val="20"/>
          <w:color w:val="auto"/>
        </w:rPr>
      </w:pPr>
      <w:r>
        <w:rPr>
          <w:rFonts w:ascii="Times New Roman" w:cs="Times New Roman" w:eastAsia="Times New Roman" w:hAnsi="Times New Roman"/>
          <w:sz w:val="18"/>
          <w:szCs w:val="18"/>
          <w:color w:val="auto"/>
        </w:rPr>
        <w:t>provided by Rule 144 and Rule 701 promulgated under the Securities Act. In general, beginning 90 days after the date of this prospectus, a person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(together with any sales aggregated with them) does not exceed the greater of the following:</w:t>
      </w:r>
    </w:p>
    <w:p>
      <w:pPr>
        <w:spacing w:after="0" w:line="92" w:lineRule="exact"/>
        <w:rPr>
          <w:sz w:val="20"/>
          <w:szCs w:val="20"/>
          <w:color w:val="auto"/>
        </w:rPr>
      </w:pPr>
    </w:p>
    <w:p>
      <w:pPr>
        <w:ind w:left="1160" w:right="60" w:hanging="429"/>
        <w:spacing w:after="0" w:line="275" w:lineRule="auto"/>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in the form of ADSs or otherwise, which immediately after this offering will equal 1,652,362 Class A ordinary shares, assuming the underwriters do not exercise their option to purchase additional ADSs; or</w:t>
      </w:r>
    </w:p>
    <w:p>
      <w:pPr>
        <w:spacing w:after="0" w:line="70" w:lineRule="exact"/>
        <w:rPr>
          <w:rFonts w:ascii="Times New Roman" w:cs="Times New Roman" w:eastAsia="Times New Roman" w:hAnsi="Times New Roman"/>
          <w:sz w:val="18"/>
          <w:szCs w:val="18"/>
          <w:color w:val="auto"/>
        </w:rPr>
      </w:pPr>
    </w:p>
    <w:p>
      <w:pPr>
        <w:ind w:left="1160" w:right="260" w:hanging="429"/>
        <w:spacing w:after="0" w:line="275" w:lineRule="auto"/>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64" w:lineRule="exact"/>
        <w:rPr>
          <w:sz w:val="20"/>
          <w:szCs w:val="20"/>
          <w:color w:val="auto"/>
        </w:rPr>
      </w:pPr>
    </w:p>
    <w:p>
      <w:pPr>
        <w:ind w:left="200" w:right="380" w:firstLine="434"/>
        <w:spacing w:after="0" w:line="275"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4"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Beginning 90 days after the date of this prospectus, persons other than affiliates who purchased ordinary shares under a written compensatory plan or other written agreement executed prior to the completion of this offering may be entitled to sell such shares in the United States in reliance on Rule 701 under the Securities Act (the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14"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Class A ordinary shares which are either subject to outstanding options or may be issued upon exercise of any options or other equity awards which may be granted or issued in the future pursuant to the 2018 Plan and the 2021 Plan. We expect to file this registration statement as soon as practicable after the date of this prospectus. Shares registered under any registration statements will be available for sale in the open market, except to the extent that the shares are subject to vesting restrictions with us or the contractual restrictions described elsewhere in this prospectus.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20"/>
          </w:cols>
          <w:pgMar w:left="320" w:top="452" w:right="5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8"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United States federal income tax consequences of an investment in the ADSs or Class A ordinary shares is based upon laws and relevant interpretations thereof in effect as of the date of this prospectus, all of which are subject to change. The following summary does not constitute legal or tax advice. The discussion does not deal with all possible tax consequences relating to an investment in ADSs or Class A ordinary shares. In particular, the discussion does not address U.S. state or local tax laws, or tax laws of jurisdictions other than the Cayman Islands, the People’s Republic of China and the federal tax law of the United States. Accordingly, you should consult your own tax advisor regarding the tax consequences of an investment in the ADSs or Class A ordinary shares. To the extent that the discussion relates to matters of Cayman Islands tax law, it represents the opinion of Maples and Calder (Hong Kong) LLP, our Cayman Islands counsel. To the extent that the discussion relates to matters of PRC tax law, it represents the opinion of CM Law Firm, our PRC legal counsel.</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14" w:lineRule="exact"/>
        <w:rPr>
          <w:sz w:val="20"/>
          <w:szCs w:val="20"/>
          <w:color w:val="auto"/>
        </w:rPr>
      </w:pPr>
    </w:p>
    <w:p>
      <w:pPr>
        <w:ind w:left="200" w:right="240" w:firstLine="434"/>
        <w:spacing w:after="0" w:line="253"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85"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76" w:lineRule="exact"/>
        <w:rPr>
          <w:sz w:val="20"/>
          <w:szCs w:val="20"/>
          <w:color w:val="auto"/>
        </w:rPr>
      </w:pPr>
    </w:p>
    <w:p>
      <w:pPr>
        <w:ind w:left="200" w:right="440" w:firstLine="434"/>
        <w:spacing w:after="0" w:line="275" w:lineRule="auto"/>
        <w:rPr>
          <w:sz w:val="20"/>
          <w:szCs w:val="20"/>
          <w:color w:val="auto"/>
        </w:rPr>
      </w:pPr>
      <w:r>
        <w:rPr>
          <w:rFonts w:ascii="Times New Roman" w:cs="Times New Roman" w:eastAsia="Times New Roman" w:hAnsi="Times New Roman"/>
          <w:sz w:val="18"/>
          <w:szCs w:val="18"/>
          <w:color w:val="auto"/>
        </w:rPr>
        <w:t>Pursuant to Section 6 of the Tax Concessions Act (As Revised)) of the Cayman Islands, we have obtained an undertaking from the Financial Secretary of the Cayman Islands that:</w:t>
      </w:r>
    </w:p>
    <w:p>
      <w:pPr>
        <w:spacing w:after="0" w:line="71" w:lineRule="exact"/>
        <w:rPr>
          <w:sz w:val="20"/>
          <w:szCs w:val="20"/>
          <w:color w:val="auto"/>
        </w:rPr>
      </w:pPr>
    </w:p>
    <w:p>
      <w:pPr>
        <w:ind w:left="1160" w:hanging="429"/>
        <w:spacing w:after="0" w:line="275" w:lineRule="auto"/>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which is enacted in the Cayman Islands imposing any tax to be levied on profits or income or gains or appreciation shall apply to us or our operations; and</w:t>
      </w:r>
    </w:p>
    <w:p>
      <w:pPr>
        <w:spacing w:after="0" w:line="70" w:lineRule="exact"/>
        <w:rPr>
          <w:rFonts w:ascii="Times New Roman" w:cs="Times New Roman" w:eastAsia="Times New Roman" w:hAnsi="Times New Roman"/>
          <w:sz w:val="18"/>
          <w:szCs w:val="18"/>
          <w:color w:val="auto"/>
        </w:rPr>
      </w:pPr>
    </w:p>
    <w:p>
      <w:pPr>
        <w:ind w:left="1160" w:right="160" w:hanging="429"/>
        <w:spacing w:after="0" w:line="275" w:lineRule="auto"/>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be levied on profits, income, gains or appreciations or which is in the nature of estate duty or inheritance tax shall be payable:</w:t>
      </w:r>
    </w:p>
    <w:p>
      <w:pPr>
        <w:spacing w:after="0" w:line="70" w:lineRule="exact"/>
        <w:rPr>
          <w:rFonts w:ascii="Times New Roman" w:cs="Times New Roman" w:eastAsia="Times New Roman" w:hAnsi="Times New Roman"/>
          <w:sz w:val="18"/>
          <w:szCs w:val="18"/>
          <w:color w:val="auto"/>
        </w:rPr>
      </w:pPr>
    </w:p>
    <w:p>
      <w:pPr>
        <w:ind w:left="1600" w:hanging="430"/>
        <w:spacing w:after="0"/>
        <w:tabs>
          <w:tab w:leader="none" w:pos="16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our shares, debentures or other obligations; or</w:t>
      </w:r>
    </w:p>
    <w:p>
      <w:pPr>
        <w:spacing w:after="0" w:line="125" w:lineRule="exact"/>
        <w:rPr>
          <w:rFonts w:ascii="Times New Roman" w:cs="Times New Roman" w:eastAsia="Times New Roman" w:hAnsi="Times New Roman"/>
          <w:sz w:val="18"/>
          <w:szCs w:val="18"/>
          <w:color w:val="auto"/>
        </w:rPr>
      </w:pPr>
    </w:p>
    <w:p>
      <w:pPr>
        <w:ind w:left="1600" w:hanging="430"/>
        <w:spacing w:after="0"/>
        <w:tabs>
          <w:tab w:leader="none" w:pos="16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any relevant payment as defined in section 6(3) of the Tax Concessions Act.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undertaking for us is for a period of 30 years from July 13, 2022.</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1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20"/>
          </w:cols>
          <w:pgMar w:left="320" w:top="452" w:right="5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49" w:lineRule="auto"/>
        <w:rPr>
          <w:sz w:val="20"/>
          <w:szCs w:val="20"/>
          <w:color w:val="auto"/>
        </w:rPr>
      </w:pPr>
      <w:r>
        <w:rPr>
          <w:rFonts w:ascii="Times New Roman" w:cs="Times New Roman" w:eastAsia="Times New Roman" w:hAnsi="Times New Roman"/>
          <w:sz w:val="18"/>
          <w:szCs w:val="18"/>
          <w:color w:val="auto"/>
        </w:rPr>
        <w:t>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 We believe that our Cayman Islands holding company, is not a PRC resident enterprise for PRC tax purposes. Our Cayman Islands holding company is not controlled by a PRC enterprise or PRC enterprise group, and we do not believe that it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Therefore, there can be no assurance that the PRC government will ultimately take a view that is consistent with ours.</w:t>
      </w:r>
    </w:p>
    <w:p>
      <w:pPr>
        <w:spacing w:after="0" w:line="191"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If the PRC tax authorities determine that our Cayman Islands holding company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However, it is also unclear whether non-PRC shareholders of our Cayman Islands holding company would be able to claim the benefits of any tax treaties between their country of tax residence and the PRC in the event that our Cayman Islands holding company is treated as a PRC resident enterprise.</w:t>
      </w:r>
    </w:p>
    <w:p>
      <w:pPr>
        <w:spacing w:after="0" w:line="193" w:lineRule="exact"/>
        <w:rPr>
          <w:sz w:val="20"/>
          <w:szCs w:val="20"/>
          <w:color w:val="auto"/>
        </w:rPr>
      </w:pPr>
    </w:p>
    <w:p>
      <w:pPr>
        <w:ind w:left="200" w:right="20" w:firstLine="434"/>
        <w:spacing w:after="0" w:line="264" w:lineRule="auto"/>
        <w:rPr>
          <w:sz w:val="20"/>
          <w:szCs w:val="20"/>
          <w:color w:val="auto"/>
        </w:rPr>
      </w:pPr>
      <w:r>
        <w:rPr>
          <w:rFonts w:ascii="Times New Roman" w:cs="Times New Roman" w:eastAsia="Times New Roman" w:hAnsi="Times New Roman"/>
          <w:sz w:val="17"/>
          <w:szCs w:val="17"/>
          <w:color w:val="auto"/>
        </w:rPr>
        <w:t>Provided that our Cayman Islands holding company is not deemed to be a PRC resident enterprise, holders of the ADSs and ordinary shares who are not PRC residents will not be subject to PRC income tax on dividends distributed by us or gains realized from the sale or other disposition of our shares or ADSs. However, under SAT Bulletin 7 and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thereunder. See “Risk Factors — Risks Related to Doing Business in China — If we are classified as a PRC resident enterprise for PRC income tax purposes, such classification could result in unfavorable tax consequences to us and our non-PRC shareholders or the ADSs holders”.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14" w:lineRule="exact"/>
        <w:rPr>
          <w:sz w:val="20"/>
          <w:szCs w:val="20"/>
          <w:color w:val="auto"/>
        </w:rPr>
      </w:pPr>
    </w:p>
    <w:p>
      <w:pPr>
        <w:ind w:left="200" w:right="160" w:firstLine="434"/>
        <w:spacing w:after="0" w:line="275"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relating to the ownership and disposition of the ADSs or Class A ordinary shares by a U.S. Holder, as defined below, that</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40"/>
          </w:cols>
          <w:pgMar w:left="320" w:top="452"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spacing w:after="0" w:line="275" w:lineRule="auto"/>
        <w:rPr>
          <w:sz w:val="20"/>
          <w:szCs w:val="20"/>
          <w:color w:val="auto"/>
        </w:rPr>
      </w:pPr>
      <w:r>
        <w:rPr>
          <w:rFonts w:ascii="Times New Roman" w:cs="Times New Roman" w:eastAsia="Times New Roman" w:hAnsi="Times New Roman"/>
          <w:sz w:val="18"/>
          <w:szCs w:val="18"/>
          <w:color w:val="auto"/>
        </w:rPr>
        <w:t>acquires the ADSs in this offering and holds the ADSs or Class A ordinary shares as “capital assets” (generally, property held for investment) under the United States Internal Revenue Code of 1986, as amended (the “Code”).</w:t>
      </w:r>
    </w:p>
    <w:p>
      <w:pPr>
        <w:spacing w:after="0" w:line="164"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regulations promulgated thereunder, published rulings, court decisions and the Agreement Between the Government of the United States of America and the Government of the People’s Republic of China for the Avoidance of Double Taxation and the Prevention of Tax Evasion with Respect to Taxes on Income (the “United States-PRC income tax treaty”). These laws are subject to differing interpretations or change, possibly with retroactive effect. No ruling has been sought from the Internal Revenue Service (the “IRS”), with respect to any United States federal income tax consequences described below, and we cannot assure you that the IRS or a court will not take a contrary position.</w:t>
      </w:r>
    </w:p>
    <w:p>
      <w:pPr>
        <w:spacing w:after="0" w:line="185" w:lineRule="exact"/>
        <w:rPr>
          <w:sz w:val="20"/>
          <w:szCs w:val="20"/>
          <w:color w:val="auto"/>
        </w:rPr>
      </w:pPr>
    </w:p>
    <w:p>
      <w:pPr>
        <w:ind w:left="200" w:right="200" w:firstLine="434"/>
        <w:spacing w:after="0" w:line="275" w:lineRule="auto"/>
        <w:rPr>
          <w:sz w:val="20"/>
          <w:szCs w:val="20"/>
          <w:color w:val="auto"/>
        </w:rPr>
      </w:pPr>
      <w:r>
        <w:rPr>
          <w:rFonts w:ascii="Times New Roman" w:cs="Times New Roman" w:eastAsia="Times New Roman" w:hAnsi="Times New Roman"/>
          <w:sz w:val="18"/>
          <w:szCs w:val="18"/>
          <w:color w:val="auto"/>
        </w:rPr>
        <w:t>This discussion does not address all aspects of United States federal income taxation that may be relevant to particular investors in light of their individual circumstances, including investors subject to special tax rules, including:</w:t>
      </w:r>
    </w:p>
    <w:p>
      <w:pPr>
        <w:spacing w:after="0" w:line="71" w:lineRule="exact"/>
        <w:rPr>
          <w:sz w:val="20"/>
          <w:szCs w:val="20"/>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tax accounting for securities holdings;</w:t>
      </w:r>
    </w:p>
    <w:p>
      <w:pPr>
        <w:spacing w:after="0" w:line="125" w:lineRule="exact"/>
        <w:rPr>
          <w:rFonts w:ascii="Times New Roman" w:cs="Times New Roman" w:eastAsia="Times New Roman" w:hAnsi="Times New Roman"/>
          <w:sz w:val="18"/>
          <w:szCs w:val="18"/>
          <w:color w:val="auto"/>
        </w:rPr>
      </w:pPr>
    </w:p>
    <w:p>
      <w:pPr>
        <w:ind w:left="1160" w:right="40" w:hanging="429"/>
        <w:spacing w:after="0" w:line="275"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treated as partnerships or other pass-through entities for United States federal income tax purposes or persons holding the ADSs or Class A ordinary shares through any such entities;</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“individual retirement accounts” or “Roth IRAs”;</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own (directly, indirectly, or constructively) 10% or more of our stock by vote or value;</w:t>
      </w:r>
    </w:p>
    <w:p>
      <w:pPr>
        <w:spacing w:after="0" w:line="125" w:lineRule="exact"/>
        <w:rPr>
          <w:rFonts w:ascii="Times New Roman" w:cs="Times New Roman" w:eastAsia="Times New Roman" w:hAnsi="Times New Roman"/>
          <w:sz w:val="18"/>
          <w:szCs w:val="18"/>
          <w:color w:val="auto"/>
        </w:rPr>
      </w:pPr>
    </w:p>
    <w:p>
      <w:pPr>
        <w:ind w:left="1160" w:right="360" w:hanging="429"/>
        <w:spacing w:after="0" w:line="275"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their ADSs or Class A ordinary shares as part of a straddle, hedge, conversion, constructive sale or other integrated transaction);</w:t>
      </w:r>
    </w:p>
    <w:p>
      <w:pPr>
        <w:spacing w:after="0" w:line="70"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 or</w:t>
      </w:r>
    </w:p>
    <w:p>
      <w:pPr>
        <w:spacing w:after="0" w:line="125" w:lineRule="exact"/>
        <w:rPr>
          <w:rFonts w:ascii="Times New Roman" w:cs="Times New Roman" w:eastAsia="Times New Roman" w:hAnsi="Times New Roman"/>
          <w:sz w:val="18"/>
          <w:szCs w:val="18"/>
          <w:color w:val="auto"/>
        </w:rPr>
      </w:pPr>
    </w:p>
    <w:p>
      <w:pPr>
        <w:ind w:left="1160" w:right="40" w:hanging="429"/>
        <w:spacing w:after="0" w:line="275"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required to accelerate the recognition of any item of gross income with respect to the ADSs or Class A ordinary shares as a result of such income being recognized on an applicable financial statement.</w:t>
      </w:r>
    </w:p>
    <w:p>
      <w:pPr>
        <w:spacing w:after="0" w:line="164"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any aspects of United States gift or estate tax, alternative minimum tax, the Medicare contribution tax on net investment income, or any state, local or non-United States tax. Each potential investor is urged to consult its tax advisor regarding the United States federal, state, local and non-United States income and other tax considerations of an investment in the ADSs or ordinary shares.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6" w:lineRule="exact"/>
        <w:rPr>
          <w:sz w:val="20"/>
          <w:szCs w:val="20"/>
          <w:color w:val="auto"/>
        </w:rPr>
      </w:pPr>
    </w:p>
    <w:p>
      <w:pPr>
        <w:ind w:left="200" w:right="320" w:firstLine="434"/>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United States federal income tax purposes, (1) an individual who is a citizen or resident of the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20"/>
          </w:cols>
          <w:pgMar w:left="320" w:top="452" w:right="5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53" w:lineRule="auto"/>
        <w:rPr>
          <w:sz w:val="20"/>
          <w:szCs w:val="20"/>
          <w:color w:val="auto"/>
        </w:rPr>
      </w:pPr>
      <w:r>
        <w:rPr>
          <w:rFonts w:ascii="Times New Roman" w:cs="Times New Roman" w:eastAsia="Times New Roman" w:hAnsi="Times New Roman"/>
          <w:sz w:val="18"/>
          <w:szCs w:val="18"/>
          <w:color w:val="auto"/>
        </w:rPr>
        <w:t>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85"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is a beneficial owner of the ADSs or Class A ordinary shares, the tax treatment of a partner in the partnership will depend upon the status of the partner and the activities of the partnership. Partnerships and partners of a partnership holding the ADSs or Class A ordinary shares are urged to consult their tax advisors regarding an investment in the ADSs or Class A ordinary shares.</w:t>
      </w:r>
    </w:p>
    <w:p>
      <w:pPr>
        <w:spacing w:after="0" w:line="181"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For United States federal income tax purposes, a U.S. Holder of ADSs will generally be treated as the beneficial owner of the underlying Class A ordinary shares represented by the ADSs. Accordingly, deposits or withdrawals of ordinary shares for ADSs will generally not be subject to United States federal income tax.</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PFIC, for United States federal income tax purposes, if, in the case of any particular taxable year, either (1) 75% or more of its gross income for such year consists of certain types of “passive” income or (2) 50% or more of its assets (generally determined on the basis of a quarterly average) during such year produce or are held for the production of passive income. For this purpose, cash and cash equivalents (with certain exceptions) are categorized as passive assets and the company’s unbooked intangibles associated with non-passive business activities may generally be classified as non-passive assets. Passive income generally includes, among other things, dividends, interest, rents, royalties, and gains from the disposition of passive assets. We will be treated as owning our proportionate share of the assets and earning our proportionate share of the income of any other corporation in which we own, directly or indirectly, more than 25% (by value) of the stock.</w:t>
      </w:r>
    </w:p>
    <w:p>
      <w:pPr>
        <w:spacing w:after="0" w:line="190"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Although the law in this regard is unclear, we treat our affiliated entities as being owned by us for United States federal income tax purposes because we control their management decisions and are entitled to substantially all of their economic benefits, and, as a result, we combine and consolidate their financial results in our consolidated financial statements. Assuming that we are the owner of our affiliated entities for United States federal income tax purposes, based upon our current and anticipated composition of income and assets (taking into account the expected proceeds from this offering) and projections as to the value of the ADSs and Class A ordinary shares following the offering, we do not expect to be classified as a PFIC for the current taxable year or the foreseeable future.</w:t>
      </w:r>
    </w:p>
    <w:p>
      <w:pPr>
        <w:spacing w:after="0" w:line="185"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While we do not expect to be or become a PFIC in the current taxable year or the foreseeable future, the determination of whether we will be or become a PFIC will depend upon the composition of our income (which may differ from our historical results and current projections) and assets and the value of our assets from time to time, including, in particular, the value of our goodwill and other unbooked intangibles (which may depend upon the market value of the ADSs or Class A ordinary shares from time-to-time and may be volatile). In estimating the value of our goodwill and other unbooked intangibles, we have taken into account our anticipated market capitalization following the close of this offering. Among other matters, if our market capitalization is less than anticipated or subsequently declines, we may be classified as a PFIC for the current or future taxable years. It is also possible that the IRS may challenge our classification or valuation of our goodwill and other unbooked intangibles, which may result in our company being, or becoming classified as, a PFIC for the current or one or more future taxable years.</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40"/>
          </w:cols>
          <w:pgMar w:left="320" w:top="452" w:right="5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firstLine="434"/>
        <w:spacing w:after="0" w:line="251" w:lineRule="auto"/>
        <w:rPr>
          <w:sz w:val="20"/>
          <w:szCs w:val="20"/>
          <w:color w:val="auto"/>
        </w:rPr>
      </w:pPr>
      <w:r>
        <w:rPr>
          <w:rFonts w:ascii="Times New Roman" w:cs="Times New Roman" w:eastAsia="Times New Roman" w:hAnsi="Times New Roman"/>
          <w:sz w:val="18"/>
          <w:szCs w:val="18"/>
          <w:color w:val="auto"/>
        </w:rPr>
        <w:t>The determination of whether we will be or become a PFIC may also depend, in part, on how, and how quickly, we use our liquid assets and the cash raised in this offering. Under circumstances where we retain significant amounts of liquid assets including cash raised in this offering, or if our affiliated entities were not treated as owned by us for United States federal income tax purposes, our risk of being classified as a PFIC may substantially increase. Because there are uncertainties in the application of the relevant rules and PFIC status is a factual determination made annually after the close of each taxable year, we cannot assure you that we will not be a PFIC for the current taxable year or any future taxable year. If we were classified as a PFIC for any year during which a U.S. Holder held the ADSs or Class A ordinary shares, we generally would continue to be treated as a PFIC for all succeeding years during which such U.S. Holder held the ADSs or Class A ordinary shares.</w:t>
      </w:r>
    </w:p>
    <w:p>
      <w:pPr>
        <w:spacing w:after="0" w:line="187"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ADSs or Class A ordinary shares” is written on the basis that we will not be classified as a PFIC for United States federal income tax purposes. The United States federal income tax rules that apply to a U.S. Holder if we are classified as a PFIC for the current taxable year or any subsequent taxable year in which the U.S. Holder holds the ADSs or Class A ordinary shares are discussed below under “Passive Foreign Investment Company rules.”</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6"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rules” described below, any cash distributions (including the amount of any PRC tax withheld) paid on the ADSs or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ordinary shares, or by the depositary bank, in the case of ADSs.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applicable capital gains rate rather than the marginal tax rates generally applicable to ordinary income, provided that certain holding period and other requirements are met.</w:t>
      </w:r>
    </w:p>
    <w:p>
      <w:pPr>
        <w:spacing w:after="0" w:line="190" w:lineRule="exact"/>
        <w:rPr>
          <w:sz w:val="20"/>
          <w:szCs w:val="20"/>
          <w:color w:val="auto"/>
        </w:rPr>
      </w:pPr>
    </w:p>
    <w:p>
      <w:pPr>
        <w:ind w:left="200" w:right="20" w:firstLine="434"/>
        <w:spacing w:after="0" w:line="248"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(or depositary shares in respect of such stock) which is readily tradable on an established securities market in the United States. After we list the ADSs on the Nasdaq Global Market, we believe that the ADSs will be readily tradable on an established securities market in the United States and that we will be a qualified foreign corporation with respect to dividends paid on the ADSs. Since we do not expect that our Class A ordinary shares will be listed on established securities markets, it is unclear whether dividends that we pay on our Class A ordinary shares that are not backed by ADSs currently meet the conditions required for the reduced tax rate. We cannot assure you that the ADSs will continue to be considered readily tradable on an established securities market in later years. In the event we are deemed to be a PRC resident enterprise under the EIT Law, we may be eligible for the benefits of the United States-PRC income tax treaty (which the Secretary of the Treasury of the United States has determined is satisfactory for this purpose), in which case we would be treated as a qualified foreign corporation with respect to dividends paid on our Class A ordinary shares or ADSs. U.S. Holders are urged to consult their tax advisors regarding the availability of the reduced tax rate on dividends in their particular circumstances. Dividends received on the ADSs or Class A ordinary shares will not be eligible for the dividends received deduction generally allowed to United States corporations.</w:t>
      </w:r>
    </w:p>
    <w:p>
      <w:pPr>
        <w:spacing w:after="0" w:line="197" w:lineRule="exact"/>
        <w:rPr>
          <w:sz w:val="20"/>
          <w:szCs w:val="20"/>
          <w:color w:val="auto"/>
        </w:rPr>
      </w:pPr>
    </w:p>
    <w:p>
      <w:pPr>
        <w:ind w:left="200" w:right="360" w:firstLine="434"/>
        <w:spacing w:after="0" w:line="275" w:lineRule="auto"/>
        <w:rPr>
          <w:sz w:val="20"/>
          <w:szCs w:val="20"/>
          <w:color w:val="auto"/>
        </w:rPr>
      </w:pPr>
      <w:r>
        <w:rPr>
          <w:rFonts w:ascii="Times New Roman" w:cs="Times New Roman" w:eastAsia="Times New Roman" w:hAnsi="Times New Roman"/>
          <w:sz w:val="18"/>
          <w:szCs w:val="18"/>
          <w:color w:val="auto"/>
        </w:rPr>
        <w:t>For United States foreign tax credit purposes, dividends paid on the ADSs or ordinary shares will generally be treated as income from foreign sources and will generally constitute passive category income. In the event that</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40"/>
          </w:cols>
          <w:pgMar w:left="320" w:top="452" w:right="5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0"/>
        <w:spacing w:after="0" w:line="252" w:lineRule="auto"/>
        <w:rPr>
          <w:sz w:val="20"/>
          <w:szCs w:val="20"/>
          <w:color w:val="auto"/>
        </w:rPr>
      </w:pPr>
      <w:r>
        <w:rPr>
          <w:rFonts w:ascii="Times New Roman" w:cs="Times New Roman" w:eastAsia="Times New Roman" w:hAnsi="Times New Roman"/>
          <w:sz w:val="18"/>
          <w:szCs w:val="18"/>
          <w:color w:val="auto"/>
        </w:rPr>
        <w:t>we are deemed to be a PRC resident enterprise under the EIT Law, a U.S. Holder may be subject to PRC withholding taxes on dividends paid, if any, on the ADSs or ordinary shares. A U.S. Holder may be eligible, subject to a number of complex limitations, to claim a foreign tax credit in respect of any foreign withholding taxes imposed on dividends received on the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Class A ordinary shares</w:t>
      </w:r>
    </w:p>
    <w:p>
      <w:pPr>
        <w:spacing w:after="0" w:line="116" w:lineRule="exact"/>
        <w:rPr>
          <w:sz w:val="20"/>
          <w:szCs w:val="20"/>
          <w:color w:val="auto"/>
        </w:rPr>
      </w:pPr>
    </w:p>
    <w:p>
      <w:pPr>
        <w:ind w:left="200" w:firstLine="434"/>
        <w:spacing w:after="0" w:line="248"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rules”, a U.S. Holder will generally recognize capital gain or loss, if any, upon the sale or other disposition of ADSs or Class A ordinary shares in an amount equal to the difference between the amount realized upon the disposition and the U.S. Holder’s adjusted tax basis in such ADSs or ordinary shares. Any capital gain or loss the U.S. Holder recognizes will generally be long-term capital gain or loss if the ADSs or Class A ordinary shares have been held for more than one year and will generally be United States-source gain or loss for United States foreign tax credit purposes. Long-term capital gains of non-corporate taxpayers will generally be eligible for reduced rates of taxation. The deductibility of a capital loss may be subject to limitations. In the event that we are treated as a PRC resident enterprise under the EIT Law, and gain from the disposition of the ADSs or Class A ordinary shares is subject to tax in the PRC, a U.S. Holder that is eligible for the benefits of the United States-PRC income tax treaty may be able to elect to treat such gain as PRC-source gain for foreign tax credit purposes under the United States-PRC income tax treaty. If a U.S. Holder is not eligible for the benefits of the United States-PRC income tax treaty or fails to treat any such gain as PRC-source, then such U.S. Holder would generally not be able to use any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Recently finalized United States Treasury regulations may also impose additional limitations on the creditability of any PRC tax on sales or dispositions of our ADSs or Class A ordinary shares. U.S. Holders are urged to consult their tax advisors regarding the tax consequences if a foreign tax is imposed on a disposition of the ADSs or Class A ordinary shares, including the availability of the foreign tax credit under their particular circumstances.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6"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Class A ordinary shares, unless the U.S. Holder makes a mark-to-market election (as described below), the U.S. Holder will, except as discussed below, be subject to special tax rules that have a penalizing effect, regardless of whether we remain a PFIC, on (1)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(2) any gain realized on the sale or other disposition, including, under certain circumstances, a pledge, of ADSs or Class A ordinary shares. Under the PFIC rules:</w:t>
      </w:r>
    </w:p>
    <w:p>
      <w:pPr>
        <w:spacing w:after="0" w:line="92" w:lineRule="exact"/>
        <w:rPr>
          <w:sz w:val="20"/>
          <w:szCs w:val="20"/>
          <w:color w:val="auto"/>
        </w:rPr>
      </w:pPr>
    </w:p>
    <w:p>
      <w:pPr>
        <w:ind w:left="1160" w:hanging="429"/>
        <w:spacing w:after="0"/>
        <w:tabs>
          <w:tab w:leader="none" w:pos="11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and/or gain will be allocated ratably over the U.S. Holder’s holding period for the ADSs or Class A ordinary shares;</w:t>
      </w:r>
    </w:p>
    <w:p>
      <w:pPr>
        <w:spacing w:after="0" w:line="136" w:lineRule="exact"/>
        <w:rPr>
          <w:rFonts w:ascii="Times New Roman" w:cs="Times New Roman" w:eastAsia="Times New Roman" w:hAnsi="Times New Roman"/>
          <w:sz w:val="17"/>
          <w:szCs w:val="17"/>
          <w:color w:val="auto"/>
        </w:rPr>
      </w:pPr>
    </w:p>
    <w:p>
      <w:pPr>
        <w:ind w:left="1160" w:right="140" w:hanging="429"/>
        <w:spacing w:after="0" w:line="275" w:lineRule="auto"/>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or a pre-PFIC year, will be taxable as ordinary income; and</w:t>
      </w:r>
    </w:p>
    <w:p>
      <w:pPr>
        <w:spacing w:after="0" w:line="70" w:lineRule="exact"/>
        <w:rPr>
          <w:rFonts w:ascii="Times New Roman" w:cs="Times New Roman" w:eastAsia="Times New Roman" w:hAnsi="Times New Roman"/>
          <w:sz w:val="18"/>
          <w:szCs w:val="18"/>
          <w:color w:val="auto"/>
        </w:rPr>
      </w:pPr>
    </w:p>
    <w:p>
      <w:pPr>
        <w:jc w:val="both"/>
        <w:ind w:left="1160" w:right="100" w:hanging="429"/>
        <w:spacing w:after="0" w:line="261" w:lineRule="auto"/>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the current taxable year or a pre-PFIC year, will be subject to tax at the highest tax rate in effect applicable to the individuals or corporations, and the interest charge generally applicable to underpayments of tax will be imposed on the resulting tax attributable to each such year.</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40"/>
          </w:cols>
          <w:pgMar w:left="320" w:top="452" w:right="5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220" w:firstLine="434"/>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Class A ordinary shares and any of our non-United States subsidiaries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subsidiaries.</w:t>
      </w:r>
    </w:p>
    <w:p>
      <w:pPr>
        <w:spacing w:after="0" w:line="181" w:lineRule="exact"/>
        <w:rPr>
          <w:sz w:val="20"/>
          <w:szCs w:val="20"/>
          <w:color w:val="auto"/>
        </w:rPr>
      </w:pPr>
    </w:p>
    <w:p>
      <w:pPr>
        <w:ind w:left="200" w:firstLine="434"/>
        <w:spacing w:after="0" w:line="249" w:lineRule="auto"/>
        <w:rPr>
          <w:sz w:val="20"/>
          <w:szCs w:val="20"/>
          <w:color w:val="auto"/>
        </w:rPr>
      </w:pPr>
      <w:r>
        <w:rPr>
          <w:rFonts w:ascii="Times New Roman" w:cs="Times New Roman" w:eastAsia="Times New Roman" w:hAnsi="Times New Roman"/>
          <w:sz w:val="18"/>
          <w:szCs w:val="18"/>
          <w:color w:val="auto"/>
        </w:rPr>
        <w:t>As an alternative to the foregoing PFIC rules, a U.S. Holder of “marketable stock” in a PFIC may make a mark-to-market election with respect to the ADSs, provided that the ADSs are “regularly traded” (as specially defined) on the Nasdaq Stock Market (or other qualified exchange or other market). We anticipate that the ADSs should qualify as being regularly traded in this regard, although we cannot assure you whether the ADSs will so qualify, or will continue to be so qualified. If a mark-to-market election is made, the U.S. Holder will generally (1) include as ordinary income for each taxable year that we are a PFIC the excess, if any, of the fair market value of ADSs held at the end of the taxable year over the adjusted tax basis of such ADSs and (2)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loss will be treated as ordinary loss, but only to the extent of the net amount previously included in income as a result of the mark-to-market election. Because our Class A ordinary shares are not listed on a stock exchange, it is not expected that U.S. Holders will be able to make a mark-to-market election with respect to our Class A ordinary shares.</w:t>
      </w:r>
    </w:p>
    <w:p>
      <w:pPr>
        <w:spacing w:after="0" w:line="189" w:lineRule="exact"/>
        <w:rPr>
          <w:sz w:val="20"/>
          <w:szCs w:val="20"/>
          <w:color w:val="auto"/>
        </w:rPr>
      </w:pPr>
    </w:p>
    <w:p>
      <w:pPr>
        <w:jc w:val="both"/>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76"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a PFIC may own, a U.S. Holder who makes a mark-to-market election with respect to the ADSs may continue to be subject to the general PFIC rules with respect to such U.S. Holder’s indirect interest in any of our non-United States subsidiaries that is classified as a PFIC.</w:t>
      </w:r>
    </w:p>
    <w:p>
      <w:pPr>
        <w:spacing w:after="0" w:line="176" w:lineRule="exact"/>
        <w:rPr>
          <w:sz w:val="20"/>
          <w:szCs w:val="20"/>
          <w:color w:val="auto"/>
        </w:rPr>
      </w:pPr>
    </w:p>
    <w:p>
      <w:pPr>
        <w:ind w:left="200" w:right="80" w:firstLine="434"/>
        <w:spacing w:after="0" w:line="275"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for such U.S. Holders different from the general PFIC tax treatment described above.</w:t>
      </w:r>
    </w:p>
    <w:p>
      <w:pPr>
        <w:spacing w:after="0" w:line="164" w:lineRule="exact"/>
        <w:rPr>
          <w:sz w:val="20"/>
          <w:szCs w:val="20"/>
          <w:color w:val="auto"/>
        </w:rPr>
      </w:pPr>
    </w:p>
    <w:p>
      <w:pPr>
        <w:ind w:left="200" w:right="40" w:firstLine="434"/>
        <w:spacing w:after="0" w:line="252" w:lineRule="auto"/>
        <w:rPr>
          <w:sz w:val="20"/>
          <w:szCs w:val="20"/>
          <w:color w:val="auto"/>
        </w:rPr>
      </w:pPr>
      <w:r>
        <w:rPr>
          <w:rFonts w:ascii="Times New Roman" w:cs="Times New Roman" w:eastAsia="Times New Roman" w:hAnsi="Times New Roman"/>
          <w:sz w:val="18"/>
          <w:szCs w:val="18"/>
          <w:color w:val="auto"/>
        </w:rPr>
        <w:t>As discussed above under “Dividends,” dividends that we pay on the ADSs or Class A ordinary shares will not be eligible for the reduced tax rate that applies to qualified dividend income if we are classified as a PFIC for the taxable year in which the dividend is paid or the preceding taxable year. In addition, if a U.S. Holder owns the ADSs or Class A ordinary shares during any taxable year that we are a PFIC, the U.S. Holder must file an annual information return with the IRS. Each U.S. Holder is urged to consult its tax advisor concerning the United States federal income tax consequences of purchasing, holding, and disposing ADSs or Class A ordinary shares if we are or become a PFIC, including the possibility of making a mark-to-market election and the unavailability of the qualified electing fund election.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w:t>
      </w:r>
    </w:p>
    <w:p>
      <w:pPr>
        <w:spacing w:after="0" w:line="116"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IRS relating to an interest in “specified foreign financial assets,” including shares issued by a non-United States corporation, for any year in which the aggregate value of all specified foreign financial assets exceeds US$50,000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00"/>
          </w:cols>
          <w:pgMar w:left="320" w:top="452" w:right="5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In addition, U.S. Holders may be subject to information reporting to the IRS and backup withholding with respect to dividends on and proceeds from the sale or other disposition of the ADSs or Class A ordinary shares. Information reporting will apply to payments of dividends on, and to proceeds from the sale or other disposition of, Class A ordinary shares or ADSs by a paying agent within the United States to a U.S. Holder, other than U.S. Holders that are exempt from information reporting and properly certify their exemption. A paying agent within the United States will be required to withhold at the applicable statutory rate, (as of the date of this prospectus, 24%), in respect of any payments of dividends on, and the proceeds from the disposition of, ordinary shares or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187"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particular circumstances.</w:t>
      </w:r>
    </w:p>
    <w:p>
      <w:pPr>
        <w:spacing w:after="0" w:line="179" w:lineRule="exact"/>
        <w:rPr>
          <w:sz w:val="20"/>
          <w:szCs w:val="20"/>
          <w:color w:val="auto"/>
        </w:rPr>
      </w:pPr>
    </w:p>
    <w:p>
      <w:pPr>
        <w:jc w:val="both"/>
        <w:ind w:left="200" w:right="520" w:firstLine="434"/>
        <w:spacing w:after="0" w:line="262"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particular U.S. federal, state, and local and non-U.S. tax consequences of purchasing, holding, and disposing of our Class A ordinary shares or ADSs, including the consequences of any proposed change in applicable laws.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40"/>
          </w:cols>
          <w:pgMar w:left="320" w:top="452" w:right="5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0" w:lineRule="exact"/>
        <w:rPr>
          <w:sz w:val="20"/>
          <w:szCs w:val="20"/>
          <w:color w:val="auto"/>
        </w:rPr>
      </w:pPr>
    </w:p>
    <w:p>
      <w:pPr>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Citigroup Global Markets Inc. and China International Capital Corporation Hong Kong Securities Limited are acting as representatives, have severally agreed to purchase, and we have agreed to sell to them, severally, the number of ADSs indicated below:</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200" w:type="dxa"/>
            <w:vAlign w:val="bottom"/>
          </w:tcPr>
          <w:p>
            <w:pPr>
              <w:spacing w:after="0"/>
              <w:rPr>
                <w:sz w:val="16"/>
                <w:szCs w:val="16"/>
                <w:color w:val="auto"/>
              </w:rPr>
            </w:pPr>
          </w:p>
        </w:tc>
        <w:tc>
          <w:tcPr>
            <w:tcW w:w="300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Number of ADSs</w:t>
            </w:r>
          </w:p>
        </w:tc>
      </w:tr>
      <w:tr>
        <w:trPr>
          <w:trHeight w:val="199"/>
        </w:trPr>
        <w:tc>
          <w:tcPr>
            <w:tcW w:w="6980" w:type="dxa"/>
            <w:vAlign w:val="bottom"/>
            <w:tcBorders>
              <w:top w:val="single" w:sz="8" w:color="CCEEFF"/>
            </w:tcBorders>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9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2,632,500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6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Tiger Securities, Inc.</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6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CLSA Limited</w:t>
            </w:r>
          </w:p>
        </w:tc>
        <w:tc>
          <w:tcPr>
            <w:tcW w:w="19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Univest Securities, LLC</w:t>
            </w:r>
          </w:p>
        </w:tc>
        <w:tc>
          <w:tcPr>
            <w:tcW w:w="1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3,250,000</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the ADSs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7" w:lineRule="exact"/>
        <w:rPr>
          <w:sz w:val="20"/>
          <w:szCs w:val="20"/>
          <w:color w:val="auto"/>
        </w:rPr>
      </w:pPr>
    </w:p>
    <w:p>
      <w:pPr>
        <w:ind w:left="200" w:right="40" w:firstLine="433"/>
        <w:spacing w:after="0" w:line="253" w:lineRule="auto"/>
        <w:tabs>
          <w:tab w:leader="none" w:pos="8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entities affiliated with DCM, one of our principal shareholders and an affiliate of one of our directors, and (2) Harvest International Premium Value (Secondary Market) Fund SPC for the account of Harvest Great Bay Investment SP, an investment fund managed by Harvest Global Capital Investments Limited, have subscribed for, and have been allocated by, the underwriters, an aggregate of 400,000 and 800,000 ADSs at the initial public offering price and on the same terms as the other ADSs being offered, respectively. The underwriters will receive the same underwriting discounts and commissions on any ADSs purchased by these investors as they will on any other ADSs sold to the public in this offering.</w:t>
      </w:r>
    </w:p>
    <w:p>
      <w:pPr>
        <w:spacing w:after="0" w:line="185" w:lineRule="exact"/>
        <w:rPr>
          <w:sz w:val="20"/>
          <w:szCs w:val="20"/>
          <w:color w:val="auto"/>
        </w:rPr>
      </w:pPr>
    </w:p>
    <w:p>
      <w:pPr>
        <w:jc w:val="both"/>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offering price listed on the cover page of this prospectus and part to certain dealers at a price that represents a concession not in excess of US$0.6375 per ADS under the initial public offering price. After the initial offering of the ADSs, the offering price and other selling terms may from time to time be varied by the representatives.</w:t>
      </w:r>
    </w:p>
    <w:p>
      <w:pPr>
        <w:spacing w:after="0" w:line="17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on a pro rata basis up to 487,500 additional ADSs at the initial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40"/>
          </w:cols>
          <w:pgMar w:left="320" w:top="452" w:right="5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80" w:firstLine="434"/>
        <w:spacing w:after="0" w:line="305" w:lineRule="auto"/>
        <w:rPr>
          <w:sz w:val="20"/>
          <w:szCs w:val="20"/>
          <w:color w:val="auto"/>
        </w:rPr>
      </w:pPr>
      <w:r>
        <w:rPr>
          <w:rFonts w:ascii="Times New Roman" w:cs="Times New Roman" w:eastAsia="Times New Roman" w:hAnsi="Times New Roman"/>
          <w:sz w:val="17"/>
          <w:szCs w:val="17"/>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487,500 ADSs.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60" w:type="dxa"/>
            <w:vAlign w:val="bottom"/>
          </w:tcPr>
          <w:p>
            <w:pPr>
              <w:spacing w:after="0"/>
              <w:rPr>
                <w:sz w:val="14"/>
                <w:szCs w:val="14"/>
                <w:color w:val="auto"/>
              </w:rPr>
            </w:pPr>
          </w:p>
        </w:tc>
        <w:tc>
          <w:tcPr>
            <w:tcW w:w="18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540" w:type="dxa"/>
            <w:vAlign w:val="bottom"/>
          </w:tcPr>
          <w:p>
            <w:pPr>
              <w:spacing w:after="0"/>
              <w:rPr>
                <w:sz w:val="9"/>
                <w:szCs w:val="9"/>
                <w:color w:val="auto"/>
              </w:rPr>
            </w:pPr>
          </w:p>
        </w:tc>
        <w:tc>
          <w:tcPr>
            <w:tcW w:w="10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1820" w:type="dxa"/>
            <w:vAlign w:val="bottom"/>
            <w:gridSpan w:val="3"/>
          </w:tcPr>
          <w:p>
            <w:pPr>
              <w:jc w:val="center"/>
              <w:ind w:right="400"/>
              <w:spacing w:after="0" w:line="115"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0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100" w:type="dxa"/>
            <w:vAlign w:val="bottom"/>
            <w:gridSpan w:val="2"/>
            <w:vMerge w:val="continue"/>
          </w:tcPr>
          <w:p>
            <w:pPr>
              <w:spacing w:after="0"/>
              <w:rPr>
                <w:sz w:val="12"/>
                <w:szCs w:val="12"/>
                <w:color w:val="auto"/>
              </w:rPr>
            </w:pPr>
          </w:p>
        </w:tc>
        <w:tc>
          <w:tcPr>
            <w:tcW w:w="182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1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Purchase</w:t>
            </w:r>
          </w:p>
        </w:tc>
        <w:tc>
          <w:tcPr>
            <w:tcW w:w="182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Purchase</w:t>
            </w:r>
          </w:p>
        </w:tc>
        <w:tc>
          <w:tcPr>
            <w:tcW w:w="13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Purchase</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2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8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ADSs</w:t>
            </w:r>
          </w:p>
        </w:tc>
        <w:tc>
          <w:tcPr>
            <w:tcW w:w="0" w:type="dxa"/>
            <w:vAlign w:val="bottom"/>
          </w:tcPr>
          <w:p>
            <w:pPr>
              <w:spacing w:after="0"/>
              <w:rPr>
                <w:sz w:val="1"/>
                <w:szCs w:val="1"/>
                <w:color w:val="auto"/>
              </w:rPr>
            </w:pPr>
          </w:p>
        </w:tc>
      </w:tr>
      <w:tr>
        <w:trPr>
          <w:trHeight w:val="206"/>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US$12.50</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US$12.50</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US$40,625,000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US$46,718,750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US$1.06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US$1.06</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US$3,453,125</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US$3,971,094</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US$11.44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US$11.44</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US$37,171,875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US$42,747,656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US$2.1 million. We have also agreed to reimburse the underwriters for certain of their expenses in an amount of up to US$202,700.</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offered by</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them.</w:t>
      </w:r>
    </w:p>
    <w:p>
      <w:pPr>
        <w:spacing w:after="0" w:line="199"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Certain of the underwriters are expected to make offers and sales both inside and outside the United States through their respective selling agents. China International Capital Corporation Hong Kong Securities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CLSA Limited is not a broker-dealer registered with the SEC and it may not make sales in the United States. CLSA Limited has agreed that it does not intend to, and will not, offer or sell any of our ADSs in the United States in connection with this offering.</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been approved to list the ADSs on the Nasdaq Global Market, under the symbol “QSG.”</w:t>
      </w:r>
    </w:p>
    <w:p>
      <w:pPr>
        <w:spacing w:after="0" w:line="218" w:lineRule="exact"/>
        <w:rPr>
          <w:sz w:val="20"/>
          <w:szCs w:val="20"/>
          <w:color w:val="auto"/>
        </w:rPr>
      </w:pPr>
    </w:p>
    <w:p>
      <w:pPr>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We, our directors, executive officers and all of our existing shareholders have agreed with the representatives on behalf of the underwriters to certain lock-up restrictions in respect of our ordinary shares, ADSs, and/or any securities convertible into or exchangeable or exercisable for any of our ordinary shares or ADSs, during the period ending 180 days after the date of this prospectus, subject to certain exceptions.</w:t>
      </w:r>
    </w:p>
    <w:p>
      <w:pPr>
        <w:spacing w:after="0" w:line="176" w:lineRule="exact"/>
        <w:rPr>
          <w:sz w:val="20"/>
          <w:szCs w:val="20"/>
          <w:color w:val="auto"/>
        </w:rPr>
      </w:pPr>
    </w:p>
    <w:p>
      <w:pPr>
        <w:ind w:left="200" w:right="700" w:firstLine="434"/>
        <w:spacing w:after="0" w:line="275"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64"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We have agreed to instruct Citibank, N.A.,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w:t>
      </w:r>
    </w:p>
    <w:p>
      <w:pPr>
        <w:spacing w:after="0" w:line="176"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ADSs in the open market. These transactions may include short sales in accordance with Regulation M under the Exchange Act, stabilizing transactions and purchases to cover positions created by short sales. Short sales involve the sale by the underwriters of a greater number of ADSs than they are required to purchase in the offering. “Covered” short sales are sales made in an amount not greater than the underwriters’ option to purchase additional ADSs in the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additional ADSs pursuant to the option granted to them. “Naked” short sales are any sales in excess of such option. The underwriters must</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60"/>
          </w:cols>
          <w:pgMar w:left="320" w:top="452" w:right="5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81"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ADSs, and may stabilize, maintain or otherwise affect the market price of the ADSs. As a result, the price of the ADSs may be higher than the price that otherwise might exist in the open market. If these activities are commenced, they are required to be conducted in accordance with applicable laws and regulations, and they may be discontinued at any time. These transactions may be effected on the Nasdaq Stock Market, the over-the-counter market or otherwise.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agreed to indemnify underwriters against certain liabilities, including liabilities under the Securities Act.</w:t>
      </w:r>
    </w:p>
    <w:p>
      <w:pPr>
        <w:spacing w:after="0" w:line="218"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and one or more of the underwriters participating in this offering may distribute prospectuses electronically.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1" w:lineRule="exact"/>
        <w:rPr>
          <w:sz w:val="20"/>
          <w:szCs w:val="20"/>
          <w:color w:val="auto"/>
        </w:rPr>
      </w:pPr>
    </w:p>
    <w:p>
      <w:pPr>
        <w:ind w:left="200" w:right="40" w:firstLine="434"/>
        <w:spacing w:after="0" w:line="276"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4" w:lineRule="exact"/>
        <w:rPr>
          <w:sz w:val="20"/>
          <w:szCs w:val="20"/>
          <w:color w:val="auto"/>
        </w:rPr>
      </w:pPr>
    </w:p>
    <w:p>
      <w:pPr>
        <w:ind w:left="200" w:right="80" w:firstLine="434"/>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4" w:lineRule="exact"/>
        <w:rPr>
          <w:sz w:val="20"/>
          <w:szCs w:val="20"/>
          <w:color w:val="auto"/>
        </w:rPr>
      </w:pPr>
    </w:p>
    <w:p>
      <w:pPr>
        <w:ind w:left="200" w:right="40" w:firstLine="434"/>
        <w:spacing w:after="0" w:line="276"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businesses similar to ours.</w:t>
      </w:r>
    </w:p>
    <w:p>
      <w:pPr>
        <w:spacing w:after="0" w:line="164" w:lineRule="exact"/>
        <w:rPr>
          <w:sz w:val="20"/>
          <w:szCs w:val="20"/>
          <w:color w:val="auto"/>
        </w:rPr>
      </w:pPr>
    </w:p>
    <w:p>
      <w:pPr>
        <w:ind w:left="200" w:right="120" w:firstLine="434"/>
        <w:spacing w:after="0" w:line="305" w:lineRule="auto"/>
        <w:rPr>
          <w:sz w:val="20"/>
          <w:szCs w:val="20"/>
          <w:color w:val="auto"/>
        </w:rPr>
      </w:pPr>
      <w:r>
        <w:rPr>
          <w:rFonts w:ascii="Times New Roman" w:cs="Times New Roman" w:eastAsia="Times New Roman" w:hAnsi="Times New Roman"/>
          <w:sz w:val="17"/>
          <w:szCs w:val="17"/>
          <w:color w:val="auto"/>
        </w:rPr>
        <w:t>We cannot assure you that the initial public offering price will correspond to the price at which our ordinary shares or ADSs will trade in the public market subsequent to this offering or that an active trading market for our ordinary shares or ADSs will develop and continue after this offering.</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20"/>
          </w:cols>
          <w:pgMar w:left="320" w:top="452" w:right="5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4"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6" w:lineRule="exact"/>
        <w:rPr>
          <w:sz w:val="20"/>
          <w:szCs w:val="20"/>
          <w:color w:val="auto"/>
        </w:rPr>
      </w:pPr>
    </w:p>
    <w:p>
      <w:pPr>
        <w:ind w:left="200" w:right="320" w:firstLine="434"/>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1" w:lineRule="exact"/>
        <w:rPr>
          <w:sz w:val="20"/>
          <w:szCs w:val="20"/>
          <w:color w:val="auto"/>
        </w:rPr>
      </w:pPr>
    </w:p>
    <w:p>
      <w:pPr>
        <w:ind w:left="200" w:right="120" w:firstLine="434"/>
        <w:spacing w:after="0" w:line="276"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4" w:lineRule="exact"/>
        <w:rPr>
          <w:sz w:val="20"/>
          <w:szCs w:val="20"/>
          <w:color w:val="auto"/>
        </w:rPr>
      </w:pPr>
    </w:p>
    <w:p>
      <w:pPr>
        <w:ind w:left="200" w:firstLine="434"/>
        <w:spacing w:after="0" w:line="275"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6"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92" w:lineRule="exact"/>
        <w:rPr>
          <w:sz w:val="20"/>
          <w:szCs w:val="20"/>
          <w:color w:val="auto"/>
        </w:rPr>
      </w:pPr>
    </w:p>
    <w:p>
      <w:pPr>
        <w:ind w:left="1160" w:hanging="535"/>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25" w:lineRule="exact"/>
        <w:rPr>
          <w:rFonts w:ascii="Times New Roman" w:cs="Times New Roman" w:eastAsia="Times New Roman" w:hAnsi="Times New Roman"/>
          <w:sz w:val="18"/>
          <w:szCs w:val="18"/>
          <w:color w:val="auto"/>
        </w:rPr>
      </w:pPr>
    </w:p>
    <w:p>
      <w:pPr>
        <w:ind w:left="1160" w:right="60" w:hanging="535"/>
        <w:spacing w:after="0" w:line="275" w:lineRule="auto"/>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70"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6"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ADSs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ADSs or to whom any offer is made will be deemed to have represented, acknowledged and agreed to and with each of the underwriters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0960"/>
          </w:cols>
          <w:pgMar w:left="320" w:top="452" w:right="6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80"/>
        <w:spacing w:after="0" w:line="275" w:lineRule="auto"/>
        <w:rPr>
          <w:sz w:val="20"/>
          <w:szCs w:val="20"/>
          <w:color w:val="auto"/>
        </w:rPr>
      </w:pPr>
      <w:r>
        <w:rPr>
          <w:rFonts w:ascii="Times New Roman" w:cs="Times New Roman" w:eastAsia="Times New Roman" w:hAnsi="Times New Roman"/>
          <w:sz w:val="18"/>
          <w:szCs w:val="18"/>
          <w:color w:val="auto"/>
        </w:rPr>
        <w:t>offer or resale in a Relevant State to qualified investors as so defined or in circumstances in which the prior consent of the underwriters have been obtained to each such proposed offer or resale.</w:t>
      </w:r>
    </w:p>
    <w:p>
      <w:pPr>
        <w:spacing w:after="0" w:line="164" w:lineRule="exact"/>
        <w:rPr>
          <w:sz w:val="20"/>
          <w:szCs w:val="20"/>
          <w:color w:val="auto"/>
        </w:rPr>
      </w:pPr>
    </w:p>
    <w:p>
      <w:pPr>
        <w:ind w:left="200" w:right="140" w:firstLine="43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6" w:lineRule="exact"/>
        <w:rPr>
          <w:sz w:val="20"/>
          <w:szCs w:val="20"/>
          <w:color w:val="auto"/>
        </w:rPr>
      </w:pPr>
    </w:p>
    <w:p>
      <w:pPr>
        <w:jc w:val="both"/>
        <w:ind w:left="200" w:firstLine="434"/>
        <w:spacing w:after="0" w:line="261" w:lineRule="auto"/>
        <w:rPr>
          <w:sz w:val="20"/>
          <w:szCs w:val="20"/>
          <w:color w:val="auto"/>
        </w:rPr>
      </w:pPr>
      <w:r>
        <w:rPr>
          <w:rFonts w:ascii="Times New Roman" w:cs="Times New Roman" w:eastAsia="Times New Roman" w:hAnsi="Times New Roman"/>
          <w:sz w:val="18"/>
          <w:szCs w:val="18"/>
          <w:color w:val="auto"/>
        </w:rPr>
        <w:t>No ADSs have been offered or will be offered pursuant to the offering to the public in the United Kingdom prior to the publication of a prospectus in relation to the ADSs which have been approved by the Financial Conduct Authority, except that the ADSs may be offered to the public in the United Kingdom at any time:</w:t>
      </w:r>
    </w:p>
    <w:p>
      <w:pPr>
        <w:spacing w:after="0" w:line="83" w:lineRule="exact"/>
        <w:rPr>
          <w:sz w:val="20"/>
          <w:szCs w:val="20"/>
          <w:color w:val="auto"/>
        </w:rPr>
      </w:pPr>
    </w:p>
    <w:p>
      <w:pPr>
        <w:ind w:left="1160" w:hanging="535"/>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25" w:lineRule="exact"/>
        <w:rPr>
          <w:rFonts w:ascii="Times New Roman" w:cs="Times New Roman" w:eastAsia="Times New Roman" w:hAnsi="Times New Roman"/>
          <w:sz w:val="18"/>
          <w:szCs w:val="18"/>
          <w:color w:val="auto"/>
        </w:rPr>
      </w:pPr>
    </w:p>
    <w:p>
      <w:pPr>
        <w:ind w:left="1160" w:right="360" w:hanging="535"/>
        <w:spacing w:after="0" w:line="275" w:lineRule="auto"/>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70"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18" w:lineRule="exact"/>
        <w:rPr>
          <w:sz w:val="20"/>
          <w:szCs w:val="20"/>
          <w:color w:val="auto"/>
        </w:rPr>
      </w:pPr>
    </w:p>
    <w:p>
      <w:pPr>
        <w:ind w:left="200" w:right="80" w:firstLine="434"/>
        <w:spacing w:after="0" w:line="253" w:lineRule="auto"/>
        <w:rPr>
          <w:sz w:val="20"/>
          <w:szCs w:val="20"/>
          <w:color w:val="auto"/>
        </w:rPr>
      </w:pPr>
      <w:r>
        <w:rPr>
          <w:rFonts w:ascii="Times New Roman" w:cs="Times New Roman" w:eastAsia="Times New Roman" w:hAnsi="Times New Roman"/>
          <w:sz w:val="18"/>
          <w:szCs w:val="18"/>
          <w:color w:val="auto"/>
        </w:rPr>
        <w:t>provided that no such offer of the ADSs shall require us or any underwriter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85" w:lineRule="exact"/>
        <w:rPr>
          <w:sz w:val="20"/>
          <w:szCs w:val="20"/>
          <w:color w:val="auto"/>
        </w:rPr>
      </w:pPr>
    </w:p>
    <w:p>
      <w:pPr>
        <w:ind w:left="200" w:right="20" w:firstLine="434"/>
        <w:spacing w:after="0" w:line="252"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85" w:lineRule="exact"/>
        <w:rPr>
          <w:sz w:val="20"/>
          <w:szCs w:val="20"/>
          <w:color w:val="auto"/>
        </w:rPr>
      </w:pPr>
    </w:p>
    <w:p>
      <w:pPr>
        <w:ind w:left="200" w:right="280" w:firstLine="434"/>
        <w:spacing w:after="0" w:line="261"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The ADSs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20"/>
          </w:cols>
          <w:pgMar w:left="320" w:top="452" w:right="5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Monaco</w:t>
      </w:r>
    </w:p>
    <w:p>
      <w:pPr>
        <w:spacing w:after="0" w:line="116" w:lineRule="exact"/>
        <w:rPr>
          <w:sz w:val="20"/>
          <w:szCs w:val="20"/>
          <w:color w:val="auto"/>
        </w:rPr>
      </w:pPr>
    </w:p>
    <w:p>
      <w:pPr>
        <w:ind w:left="200" w:firstLine="434"/>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ind w:left="200" w:right="400" w:hanging="1"/>
        <w:spacing w:after="0" w:line="250" w:lineRule="auto"/>
        <w:tabs>
          <w:tab w:leader="none" w:pos="4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document to potential investors.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document:</w:t>
      </w:r>
    </w:p>
    <w:p>
      <w:pPr>
        <w:spacing w:after="0" w:line="125" w:lineRule="exact"/>
        <w:rPr>
          <w:sz w:val="20"/>
          <w:szCs w:val="20"/>
          <w:color w:val="auto"/>
        </w:rPr>
      </w:pPr>
    </w:p>
    <w:p>
      <w:pPr>
        <w:ind w:left="1160" w:right="440" w:hanging="429"/>
        <w:spacing w:after="0" w:line="275" w:lineRule="auto"/>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70" w:lineRule="exact"/>
        <w:rPr>
          <w:rFonts w:ascii="Times New Roman" w:cs="Times New Roman" w:eastAsia="Times New Roman" w:hAnsi="Times New Roman"/>
          <w:sz w:val="18"/>
          <w:szCs w:val="18"/>
          <w:color w:val="auto"/>
        </w:rPr>
      </w:pPr>
    </w:p>
    <w:p>
      <w:pPr>
        <w:ind w:left="1160" w:right="120" w:hanging="429"/>
        <w:spacing w:after="0" w:line="261" w:lineRule="auto"/>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82" w:lineRule="exact"/>
        <w:rPr>
          <w:rFonts w:ascii="Times New Roman" w:cs="Times New Roman" w:eastAsia="Times New Roman" w:hAnsi="Times New Roman"/>
          <w:sz w:val="18"/>
          <w:szCs w:val="18"/>
          <w:color w:val="auto"/>
        </w:rPr>
      </w:pPr>
    </w:p>
    <w:p>
      <w:pPr>
        <w:ind w:left="1160" w:right="340" w:hanging="429"/>
        <w:spacing w:after="0" w:line="275" w:lineRule="auto"/>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4" w:lineRule="exact"/>
        <w:rPr>
          <w:sz w:val="20"/>
          <w:szCs w:val="20"/>
          <w:color w:val="auto"/>
        </w:rPr>
      </w:pPr>
    </w:p>
    <w:p>
      <w:pPr>
        <w:ind w:left="200" w:right="20" w:firstLine="434"/>
        <w:spacing w:after="0" w:line="276" w:lineRule="auto"/>
        <w:rPr>
          <w:sz w:val="20"/>
          <w:szCs w:val="20"/>
          <w:color w:val="auto"/>
        </w:rPr>
      </w:pPr>
      <w:r>
        <w:rPr>
          <w:rFonts w:ascii="Times New Roman" w:cs="Times New Roman" w:eastAsia="Times New Roman" w:hAnsi="Times New Roman"/>
          <w:sz w:val="17"/>
          <w:szCs w:val="17"/>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64" w:lineRule="exact"/>
        <w:rPr>
          <w:sz w:val="20"/>
          <w:szCs w:val="20"/>
          <w:color w:val="auto"/>
        </w:rPr>
      </w:pPr>
    </w:p>
    <w:p>
      <w:pPr>
        <w:ind w:left="200" w:right="120" w:firstLine="434"/>
        <w:spacing w:after="0" w:line="252" w:lineRule="auto"/>
        <w:rPr>
          <w:sz w:val="20"/>
          <w:szCs w:val="20"/>
          <w:color w:val="auto"/>
        </w:rPr>
      </w:pPr>
      <w:r>
        <w:rPr>
          <w:rFonts w:ascii="Times New Roman" w:cs="Times New Roman" w:eastAsia="Times New Roman" w:hAnsi="Times New Roman"/>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116" w:lineRule="exact"/>
        <w:rPr>
          <w:sz w:val="20"/>
          <w:szCs w:val="20"/>
          <w:color w:val="auto"/>
        </w:rPr>
      </w:pPr>
    </w:p>
    <w:p>
      <w:pPr>
        <w:jc w:val="both"/>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(the “FMA Act”). The securities may only be offered or sold in New Zealand (or allotted with a view to being offered for sale in New Zealand) to a person who:</w:t>
      </w:r>
    </w:p>
    <w:p>
      <w:pPr>
        <w:spacing w:after="0" w:line="83" w:lineRule="exact"/>
        <w:rPr>
          <w:sz w:val="20"/>
          <w:szCs w:val="20"/>
          <w:color w:val="auto"/>
        </w:rPr>
      </w:pPr>
    </w:p>
    <w:p>
      <w:pPr>
        <w:ind w:left="5500" w:right="3520" w:hanging="4769"/>
        <w:spacing w:after="0" w:line="445" w:lineRule="auto"/>
        <w:tabs>
          <w:tab w:leader="none" w:pos="11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 Act; 228</w:t>
      </w:r>
    </w:p>
    <w:p>
      <w:pPr>
        <w:sectPr>
          <w:pgSz w:w="11900" w:h="16838" w:orient="portrait"/>
          <w:cols w:equalWidth="0" w:num="1">
            <w:col w:w="11020"/>
          </w:cols>
          <w:pgMar w:left="320" w:top="452" w:right="5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hanging="429"/>
        <w:spacing w:after="0"/>
        <w:tabs>
          <w:tab w:leader="none" w:pos="1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 Act;</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 Act;</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 Act; or</w:t>
      </w:r>
    </w:p>
    <w:p>
      <w:pPr>
        <w:spacing w:after="0" w:line="125" w:lineRule="exact"/>
        <w:rPr>
          <w:rFonts w:ascii="Times New Roman" w:cs="Times New Roman" w:eastAsia="Times New Roman" w:hAnsi="Times New Roman"/>
          <w:sz w:val="18"/>
          <w:szCs w:val="18"/>
          <w:color w:val="auto"/>
        </w:rPr>
      </w:pPr>
    </w:p>
    <w:p>
      <w:pPr>
        <w:ind w:left="1160" w:hanging="429"/>
        <w:spacing w:after="0"/>
        <w:tabs>
          <w:tab w:leader="none" w:pos="1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eligible investor within the meaning of clause 41 of Schedule 1 of the FMC Act.</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6" w:lineRule="exact"/>
        <w:rPr>
          <w:sz w:val="20"/>
          <w:szCs w:val="20"/>
          <w:color w:val="auto"/>
        </w:rPr>
      </w:pPr>
    </w:p>
    <w:p>
      <w:pPr>
        <w:ind w:left="200" w:right="20" w:firstLine="434"/>
        <w:spacing w:after="0" w:line="267" w:lineRule="auto"/>
        <w:rPr>
          <w:sz w:val="20"/>
          <w:szCs w:val="20"/>
          <w:color w:val="auto"/>
        </w:rPr>
      </w:pPr>
      <w:r>
        <w:rPr>
          <w:rFonts w:ascii="Times New Roman" w:cs="Times New Roman" w:eastAsia="Times New Roman" w:hAnsi="Times New Roman"/>
          <w:sz w:val="17"/>
          <w:szCs w:val="17"/>
          <w:color w:val="auto"/>
        </w:rPr>
        <w:t>The ADSs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6"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Each underwriters has acknowledged that this document has not been registered as a prospectus with the Monetary Authority of Singapore. Accordingly, each underwriter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document or any other document or material in connection with the offer or sale, or invitation for subscription or purchase, of the ADSs, whether directly or indirectly, to any person in Singapore other than:</w:t>
      </w:r>
    </w:p>
    <w:p>
      <w:pPr>
        <w:spacing w:after="0" w:line="92" w:lineRule="exact"/>
        <w:rPr>
          <w:sz w:val="20"/>
          <w:szCs w:val="20"/>
          <w:color w:val="auto"/>
        </w:rPr>
      </w:pPr>
    </w:p>
    <w:p>
      <w:pPr>
        <w:ind w:left="1160" w:hanging="535"/>
        <w:spacing w:after="0" w:line="275" w:lineRule="auto"/>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0" w:lineRule="exact"/>
        <w:rPr>
          <w:rFonts w:ascii="Times New Roman" w:cs="Times New Roman" w:eastAsia="Times New Roman" w:hAnsi="Times New Roman"/>
          <w:sz w:val="18"/>
          <w:szCs w:val="18"/>
          <w:color w:val="auto"/>
        </w:rPr>
      </w:pPr>
    </w:p>
    <w:p>
      <w:pPr>
        <w:ind w:left="1160" w:right="880" w:hanging="535"/>
        <w:spacing w:after="0" w:line="275" w:lineRule="auto"/>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0"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25" w:lineRule="exact"/>
        <w:rPr>
          <w:sz w:val="20"/>
          <w:szCs w:val="20"/>
          <w:color w:val="auto"/>
        </w:rPr>
      </w:pPr>
    </w:p>
    <w:p>
      <w:pPr>
        <w:ind w:left="1160" w:right="80" w:hanging="535"/>
        <w:spacing w:after="0" w:line="275" w:lineRule="auto"/>
        <w:tabs>
          <w:tab w:leader="none" w:pos="1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20"/>
          </w:cols>
          <w:pgMar w:left="320" w:top="452" w:right="5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1160" w:right="320" w:hanging="535"/>
        <w:spacing w:after="0" w:line="275" w:lineRule="auto"/>
        <w:tabs>
          <w:tab w:leader="none" w:pos="11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4" w:lineRule="exact"/>
        <w:rPr>
          <w:sz w:val="20"/>
          <w:szCs w:val="20"/>
          <w:color w:val="auto"/>
        </w:rPr>
      </w:pPr>
    </w:p>
    <w:p>
      <w:pPr>
        <w:ind w:left="200" w:right="60" w:firstLine="434"/>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3" w:lineRule="exact"/>
        <w:rPr>
          <w:sz w:val="20"/>
          <w:szCs w:val="20"/>
          <w:color w:val="auto"/>
        </w:rPr>
      </w:pPr>
    </w:p>
    <w:p>
      <w:pPr>
        <w:ind w:left="1160" w:hanging="535"/>
        <w:spacing w:after="0"/>
        <w:tabs>
          <w:tab w:leader="none" w:pos="11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6"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06" w:lineRule="exact"/>
        <w:rPr>
          <w:rFonts w:ascii="Times New Roman" w:cs="Times New Roman" w:eastAsia="Times New Roman" w:hAnsi="Times New Roman"/>
          <w:sz w:val="17"/>
          <w:szCs w:val="17"/>
          <w:color w:val="auto"/>
        </w:rPr>
      </w:pPr>
    </w:p>
    <w:p>
      <w:pPr>
        <w:ind w:left="1160" w:hanging="535"/>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5"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25"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25" w:lineRule="exact"/>
        <w:rPr>
          <w:rFonts w:ascii="Times New Roman" w:cs="Times New Roman" w:eastAsia="Times New Roman" w:hAnsi="Times New Roman"/>
          <w:sz w:val="18"/>
          <w:szCs w:val="18"/>
          <w:color w:val="auto"/>
        </w:rPr>
      </w:pPr>
    </w:p>
    <w:p>
      <w:pPr>
        <w:ind w:left="1160" w:right="760" w:hanging="535"/>
        <w:spacing w:after="0" w:line="275" w:lineRule="auto"/>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16"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This Document will not be circulated or distributed in China and the ADSs will not be offered or sold, and will not be offered or sold to any person for re-offering or resale directly or indirectly to any residents of China except pursuant to any applicable laws and regulations of China. Neither this Document nor any advertisement or other offering material may be distributed or published in China, except under circumstances that will result in compliance with applicable laws and regulations.</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16"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Investments Services and Capital Markets Act of Korea and the decrees and regulations thereunder (the “FSCMA”) and the ADSs have been and will be offered in Korea as a private placement under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ADSs have not been listed on any of securities exchanges in the world including, without limitation, the Korea Exchange in Korea. Furthermore, the purchaser of the ADSs shall comply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16" w:lineRule="exact"/>
        <w:rPr>
          <w:sz w:val="20"/>
          <w:szCs w:val="20"/>
          <w:color w:val="auto"/>
        </w:rPr>
      </w:pPr>
    </w:p>
    <w:p>
      <w:pPr>
        <w:ind w:left="200" w:right="240" w:firstLine="434"/>
        <w:spacing w:after="0" w:line="251"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ADSs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ADSs, as principal, if the offer is on terms that the ADSs may only be acquired at a consideration of not less than RM250,000 (or its equivalent in foreign currencies) for each transaction; (iv) an individual whose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40"/>
          </w:cols>
          <w:pgMar w:left="320" w:top="452" w:right="5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right="40"/>
        <w:spacing w:after="0" w:line="249" w:lineRule="auto"/>
        <w:rPr>
          <w:sz w:val="20"/>
          <w:szCs w:val="20"/>
          <w:color w:val="auto"/>
        </w:rPr>
      </w:pPr>
      <w:r>
        <w:rPr>
          <w:rFonts w:ascii="Times New Roman" w:cs="Times New Roman" w:eastAsia="Times New Roman" w:hAnsi="Times New Roman"/>
          <w:sz w:val="18"/>
          <w:szCs w:val="18"/>
          <w:color w:val="auto"/>
        </w:rPr>
        <w:t>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16"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1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(the “CMA”), pursuant to resolution number 2-11-2004 dated October 4,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16" w:lineRule="exact"/>
        <w:rPr>
          <w:sz w:val="20"/>
          <w:szCs w:val="20"/>
          <w:color w:val="auto"/>
        </w:rPr>
      </w:pPr>
    </w:p>
    <w:p>
      <w:pPr>
        <w:ind w:left="200" w:right="60" w:firstLine="434"/>
        <w:spacing w:after="0" w:line="276" w:lineRule="auto"/>
        <w:rPr>
          <w:sz w:val="20"/>
          <w:szCs w:val="20"/>
          <w:color w:val="auto"/>
        </w:rPr>
      </w:pPr>
      <w:r>
        <w:rPr>
          <w:rFonts w:ascii="Times New Roman" w:cs="Times New Roman" w:eastAsia="Times New Roman" w:hAnsi="Times New Roman"/>
          <w:sz w:val="17"/>
          <w:szCs w:val="17"/>
          <w:color w:val="auto"/>
        </w:rPr>
        <w:t>The ADSs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 (the “DIFC”)</w:t>
      </w:r>
    </w:p>
    <w:p>
      <w:pPr>
        <w:spacing w:after="0" w:line="116" w:lineRule="exact"/>
        <w:rPr>
          <w:sz w:val="20"/>
          <w:szCs w:val="20"/>
          <w:color w:val="auto"/>
        </w:rPr>
      </w:pPr>
    </w:p>
    <w:p>
      <w:pPr>
        <w:ind w:left="200" w:right="220" w:firstLine="434"/>
        <w:spacing w:after="0" w:line="283" w:lineRule="auto"/>
        <w:rPr>
          <w:sz w:val="20"/>
          <w:szCs w:val="20"/>
          <w:color w:val="auto"/>
        </w:rPr>
      </w:pPr>
      <w:r>
        <w:rPr>
          <w:rFonts w:ascii="Times New Roman" w:cs="Times New Roman" w:eastAsia="Times New Roman" w:hAnsi="Times New Roman"/>
          <w:sz w:val="17"/>
          <w:szCs w:val="17"/>
          <w:color w:val="auto"/>
        </w:rPr>
        <w:t>This document relates to an Exempt Offer in accordance with the Markets Rules 2012 of the Dubai Financial Services Authority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40"/>
          </w:cols>
          <w:pgMar w:left="320" w:top="452" w:right="5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1"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16" w:lineRule="exact"/>
        <w:rPr>
          <w:sz w:val="20"/>
          <w:szCs w:val="20"/>
          <w:color w:val="auto"/>
        </w:rPr>
      </w:pPr>
    </w:p>
    <w:p>
      <w:pPr>
        <w:ind w:left="200" w:right="100" w:firstLine="434"/>
        <w:spacing w:after="0" w:line="253"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16"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16" w:lineRule="exact"/>
        <w:rPr>
          <w:sz w:val="20"/>
          <w:szCs w:val="20"/>
          <w:color w:val="auto"/>
        </w:rPr>
      </w:pPr>
    </w:p>
    <w:p>
      <w:pPr>
        <w:ind w:left="200" w:right="140" w:firstLine="434"/>
        <w:spacing w:after="0" w:line="283" w:lineRule="auto"/>
        <w:rPr>
          <w:sz w:val="20"/>
          <w:szCs w:val="20"/>
          <w:color w:val="auto"/>
        </w:rPr>
      </w:pPr>
      <w:r>
        <w:rPr>
          <w:rFonts w:ascii="Times New Roman" w:cs="Times New Roman" w:eastAsia="Times New Roman" w:hAnsi="Times New Roman"/>
          <w:sz w:val="17"/>
          <w:szCs w:val="17"/>
          <w:color w:val="auto"/>
        </w:rPr>
        <w:t>The ADSs are not being, and may not be offered to the public or to any person in the British Virgin Islands for purchase or subscription by or on our behalf. The ADSs may be offered to companies incorporated under the BVI Business Companies Act, 2004 (British Virgin Islands) (the “BVI Companies”), but only where the offer will be made to, and received by, the relevant BVI Company entirely outside of the British Virgin Islands.</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Bahamas</w:t>
      </w:r>
    </w:p>
    <w:p>
      <w:pPr>
        <w:spacing w:after="0" w:line="116" w:lineRule="exact"/>
        <w:rPr>
          <w:sz w:val="20"/>
          <w:szCs w:val="20"/>
          <w:color w:val="auto"/>
        </w:rPr>
      </w:pPr>
    </w:p>
    <w:p>
      <w:pPr>
        <w:ind w:left="200" w:right="260" w:firstLine="434"/>
        <w:spacing w:after="0" w:line="275" w:lineRule="auto"/>
        <w:rPr>
          <w:sz w:val="20"/>
          <w:szCs w:val="20"/>
          <w:color w:val="auto"/>
        </w:rPr>
      </w:pPr>
      <w:r>
        <w:rPr>
          <w:rFonts w:ascii="Times New Roman" w:cs="Times New Roman" w:eastAsia="Times New Roman" w:hAnsi="Times New Roman"/>
          <w:sz w:val="18"/>
          <w:szCs w:val="18"/>
          <w:color w:val="auto"/>
        </w:rPr>
        <w:t>The ADSs may not be offered or sold in The Bahamas via a public offer. The ADSs may not be offered or sold or otherwise disposed of in any way to any person(s) deemed “resident” for exchange control purposes by the Central Bank of The Bahamas.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14"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w:t>
      </w:r>
      <w:r>
        <w:rPr>
          <w:rFonts w:ascii="Times New Roman" w:cs="Times New Roman" w:eastAsia="Times New Roman" w:hAnsi="Times New Roman"/>
          <w:sz w:val="18"/>
          <w:szCs w:val="18"/>
          <w:i w:val="1"/>
          <w:iCs w:val="1"/>
          <w:color w:val="auto"/>
        </w:rPr>
        <w:t>offer to the public</w:t>
      </w:r>
      <w:r>
        <w:rPr>
          <w:rFonts w:ascii="Times New Roman" w:cs="Times New Roman" w:eastAsia="Times New Roman" w:hAnsi="Times New Roman"/>
          <w:sz w:val="18"/>
          <w:szCs w:val="18"/>
          <w:color w:val="auto"/>
        </w:rPr>
        <w:t>” (as such term is defined in the South African Companies Act, No. 71 of 2008 (as amended or re-enacted) (the “South African Companies Act”) is being made in connection with the issue of the ADSs in South Africa. Accordingly, this document does not, nor is it intended to, constitute a “</w:t>
      </w:r>
      <w:r>
        <w:rPr>
          <w:rFonts w:ascii="Times New Roman" w:cs="Times New Roman" w:eastAsia="Times New Roman" w:hAnsi="Times New Roman"/>
          <w:sz w:val="18"/>
          <w:szCs w:val="18"/>
          <w:i w:val="1"/>
          <w:iCs w:val="1"/>
          <w:color w:val="auto"/>
        </w:rPr>
        <w:t>registered prospectus</w:t>
      </w:r>
      <w:r>
        <w:rPr>
          <w:rFonts w:ascii="Times New Roman" w:cs="Times New Roman" w:eastAsia="Times New Roman" w:hAnsi="Times New Roman"/>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ADSs are not offered, and the offer shall not be transferred, sold, renounced or</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00"/>
          </w:cols>
          <w:pgMar w:left="320" w:top="452" w:right="5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delivered, in South Africa or to a person with an address in South Africa, unless one or other of the following exemptions stipulated in section 96 (1)</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applies:</w:t>
      </w:r>
    </w:p>
    <w:p>
      <w:pPr>
        <w:sectPr>
          <w:pgSz w:w="11900" w:h="16838" w:orient="portrait"/>
          <w:cols w:equalWidth="0" w:num="1">
            <w:col w:w="11020"/>
          </w:cols>
          <w:pgMar w:left="320" w:top="452" w:right="559" w:bottom="1440" w:gutter="0" w:footer="0" w:header="0"/>
        </w:sect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Section 96 (1) (a)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24" w:lineRule="exact"/>
        <w:rPr>
          <w:sz w:val="20"/>
          <w:szCs w:val="20"/>
          <w:color w:val="auto"/>
        </w:rPr>
      </w:pPr>
    </w:p>
    <w:p>
      <w:pPr>
        <w:sectPr>
          <w:pgSz w:w="11900" w:h="16838" w:orient="portrait"/>
          <w:cols w:equalWidth="0" w:num="2">
            <w:col w:w="1660" w:space="720"/>
            <w:col w:w="8640"/>
          </w:cols>
          <w:pgMar w:left="320" w:top="452" w:right="559" w:bottom="1440" w:gutter="0" w:footer="0" w:header="0"/>
          <w:type w:val="continuous"/>
        </w:sectPr>
      </w:pPr>
    </w:p>
    <w:p>
      <w:pPr>
        <w:ind w:left="2380"/>
        <w:spacing w:after="0"/>
        <w:rPr>
          <w:sz w:val="20"/>
          <w:szCs w:val="20"/>
          <w:color w:val="auto"/>
        </w:rPr>
      </w:pPr>
      <w:r>
        <w:rPr>
          <w:rFonts w:ascii="Times New Roman" w:cs="Times New Roman" w:eastAsia="Times New Roman" w:hAnsi="Times New Roman"/>
          <w:sz w:val="18"/>
          <w:szCs w:val="18"/>
          <w:color w:val="auto"/>
        </w:rPr>
        <w:t>(i) persons whose ordinary business, or part of whose ordinary business, is to deal in securities, as principal or agent;</w:t>
      </w:r>
    </w:p>
    <w:p>
      <w:pPr>
        <w:spacing w:after="0" w:line="11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0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93" w:lineRule="exact"/>
        <w:rPr>
          <w:sz w:val="20"/>
          <w:szCs w:val="20"/>
          <w:color w:val="auto"/>
        </w:rPr>
      </w:pPr>
    </w:p>
    <w:p>
      <w:pPr>
        <w:ind w:left="2380"/>
        <w:spacing w:after="0" w:line="261"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6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020"/>
          </w:cols>
          <w:pgMar w:left="320" w:top="452" w:right="559" w:bottom="1440" w:gutter="0" w:footer="0" w:header="0"/>
          <w:type w:val="continuous"/>
        </w:sectPr>
      </w:pP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Section 96 (1) (b)</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4" w:lineRule="exact"/>
        <w:rPr>
          <w:sz w:val="20"/>
          <w:szCs w:val="20"/>
          <w:color w:val="auto"/>
        </w:rPr>
      </w:pPr>
    </w:p>
    <w:p>
      <w:pPr>
        <w:sectPr>
          <w:pgSz w:w="11900" w:h="16838" w:orient="portrait"/>
          <w:cols w:equalWidth="0" w:num="2">
            <w:col w:w="1660" w:space="720"/>
            <w:col w:w="8640"/>
          </w:cols>
          <w:pgMar w:left="320" w:top="452" w:right="559" w:bottom="1440" w:gutter="0" w:footer="0" w:header="0"/>
          <w:type w:val="continuous"/>
        </w:sectPr>
      </w:pPr>
    </w:p>
    <w:p>
      <w:pPr>
        <w:ind w:left="200" w:right="520" w:firstLine="434"/>
        <w:spacing w:after="0" w:line="277"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20"/>
          </w:cols>
          <w:pgMar w:left="320" w:top="452" w:right="559"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0"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expected to be incurred in connection with the offer and sale of the ADSs by us. Except for the SEC registration fee, the Nasdaq Stock Market listing fee and the Financial Industry Regulatory Authority Inc. filing fee, all amounts are estimates.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Amount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be Paid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Stock Market listing fee</w:t>
            </w:r>
          </w:p>
        </w:tc>
        <w:tc>
          <w:tcPr>
            <w:tcW w:w="6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6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4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0" w:type="dxa"/>
            <w:vAlign w:val="bottom"/>
            <w:vMerge w:val="restart"/>
          </w:tcPr>
          <w:p>
            <w:pPr>
              <w:jc w:val="right"/>
              <w:ind w:right="3771"/>
              <w:spacing w:after="0"/>
              <w:rPr>
                <w:sz w:val="20"/>
                <w:szCs w:val="20"/>
                <w:color w:val="auto"/>
              </w:rPr>
            </w:pPr>
            <w:r>
              <w:rPr>
                <w:rFonts w:ascii="Times New Roman" w:cs="Times New Roman" w:eastAsia="Times New Roman" w:hAnsi="Times New Roman"/>
                <w:sz w:val="18"/>
                <w:szCs w:val="18"/>
                <w:color w:val="auto"/>
              </w:rPr>
              <w:t>234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2" w:right="6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We are being represented by Wilson Sonsini Goodrich &amp; Rosati, Professional Corporation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Maples and Calder (Hong Kong) LLP. Certain legal matters as to PRC law will be passed upon for us by CM Law Firm and for the underwriters by Jingtian &amp; Gongcheng. Wilson Sonsini Goodrich &amp; Rosati, Professional Corporation may rely upon Maples and Calder (Hong Kong) LLP with respect to matters governed by Cayman Islands law and CM Law Firm with respect to matters governed by PRC law. Latham &amp; Watkins LLP may rely upon Jingtian &amp; Gongcheng with respect to matters governed by PRC law.</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40"/>
          </w:cols>
          <w:pgMar w:left="320" w:top="452" w:right="5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0" w:lineRule="exact"/>
        <w:rPr>
          <w:sz w:val="20"/>
          <w:szCs w:val="20"/>
          <w:color w:val="auto"/>
        </w:rPr>
      </w:pPr>
    </w:p>
    <w:p>
      <w:pPr>
        <w:jc w:val="both"/>
        <w:ind w:left="200" w:firstLine="434"/>
        <w:spacing w:after="0" w:line="261" w:lineRule="auto"/>
        <w:rPr>
          <w:sz w:val="20"/>
          <w:szCs w:val="20"/>
          <w:color w:val="auto"/>
        </w:rPr>
      </w:pPr>
      <w:r>
        <w:rPr>
          <w:rFonts w:ascii="Times New Roman" w:cs="Times New Roman" w:eastAsia="Times New Roman" w:hAnsi="Times New Roman"/>
          <w:sz w:val="18"/>
          <w:szCs w:val="18"/>
          <w:color w:val="auto"/>
        </w:rPr>
        <w:t>The financial statements as of June 30, 2021 and 2022 and for each of the two years in the period ended June 30, 2022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76" w:lineRule="exact"/>
        <w:rPr>
          <w:sz w:val="20"/>
          <w:szCs w:val="20"/>
          <w:color w:val="auto"/>
        </w:rPr>
      </w:pPr>
    </w:p>
    <w:p>
      <w:pPr>
        <w:ind w:left="200" w:right="120" w:firstLine="434"/>
        <w:spacing w:after="0" w:line="275" w:lineRule="auto"/>
        <w:rPr>
          <w:sz w:val="20"/>
          <w:szCs w:val="20"/>
          <w:color w:val="auto"/>
        </w:rPr>
      </w:pPr>
      <w:r>
        <w:rPr>
          <w:rFonts w:ascii="Times New Roman" w:cs="Times New Roman" w:eastAsia="Times New Roman" w:hAnsi="Times New Roman"/>
          <w:sz w:val="18"/>
          <w:szCs w:val="18"/>
          <w:color w:val="auto"/>
        </w:rPr>
        <w:t>The registered business address of PricewaterhouseCoopers Zhong Tian LLP is 6/F DBS Bank Tower, 1318 Lu Jia Zui Ring Road, Pudong New Area, Shanghai, People’s Republic of China.</w:t>
      </w:r>
    </w:p>
    <w:p>
      <w:pPr>
        <w:spacing w:after="0" w:line="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0980"/>
          </w:cols>
          <w:pgMar w:left="320" w:top="452" w:right="5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0" w:lineRule="exact"/>
        <w:rPr>
          <w:sz w:val="20"/>
          <w:szCs w:val="20"/>
          <w:color w:val="auto"/>
        </w:rPr>
      </w:pPr>
    </w:p>
    <w:p>
      <w:pPr>
        <w:ind w:left="200" w:right="140" w:firstLine="434"/>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including relevant exhibits and schedules under the Securities Act with respect to underlying Class A ordinary shares represented by the ADSs, to be sold in this offering. A related registration statement on Form F-6 has also been filed with the SEC to register the ADSs. This prospectus, which constitutes a part of the registration statement, does not contain all of the information contained in the registration statement. You should read the registration statements on Form F-1 and Form F-6 and their exhibits and schedules for further information with respect to us and the ADSs.</w:t>
      </w:r>
    </w:p>
    <w:p>
      <w:pPr>
        <w:spacing w:after="0" w:line="185"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w:t>
      </w:r>
    </w:p>
    <w:p>
      <w:pPr>
        <w:spacing w:after="0" w:line="181"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40"/>
          </w:cols>
          <w:pgMar w:left="320" w:top="452" w:right="5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8"/>
              </w:rPr>
              <w:t>Report of Independent Registered Public Accounting Firm</w:t>
            </w:r>
          </w:p>
        </w:tc>
        <w:tc>
          <w:tcPr>
            <w:tcW w:w="6240" w:type="dxa"/>
            <w:vAlign w:val="bottom"/>
            <w:gridSpan w:val="10"/>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0000EE"/>
            </w:tcBorders>
            <w:gridSpan w:val="5"/>
            <w:vMerge w:val="continue"/>
          </w:tcPr>
          <w:p>
            <w:pPr>
              <w:spacing w:after="0"/>
              <w:rPr>
                <w:sz w:val="14"/>
                <w:szCs w:val="14"/>
                <w:color w:val="auto"/>
              </w:rPr>
            </w:pPr>
          </w:p>
        </w:tc>
        <w:tc>
          <w:tcPr>
            <w:tcW w:w="6240" w:type="dxa"/>
            <w:vAlign w:val="bottom"/>
            <w:gridSpan w:val="10"/>
            <w:vMerge w:val="continue"/>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3"/>
        </w:trPr>
        <w:tc>
          <w:tcPr>
            <w:tcW w:w="4180" w:type="dxa"/>
            <w:vAlign w:val="bottom"/>
            <w:tcBorders>
              <w:bottom w:val="single" w:sz="8" w:color="0000EE"/>
            </w:tcBorders>
            <w:gridSpan w:val="6"/>
          </w:tcPr>
          <w:p>
            <w:pPr>
              <w:spacing w:after="0" w:line="193" w:lineRule="exact"/>
              <w:rPr>
                <w:sz w:val="20"/>
                <w:szCs w:val="20"/>
                <w:color w:val="auto"/>
              </w:rPr>
            </w:pPr>
            <w:r>
              <w:rPr>
                <w:rFonts w:ascii="Times New Roman" w:cs="Times New Roman" w:eastAsia="Times New Roman" w:hAnsi="Times New Roman"/>
                <w:sz w:val="18"/>
                <w:szCs w:val="18"/>
                <w:color w:val="0000EE"/>
                <w:w w:val="98"/>
              </w:rPr>
              <w:t>Consolidated Balance Sheets as of June 30, 2021 and 2022</w:t>
            </w:r>
          </w:p>
        </w:tc>
        <w:tc>
          <w:tcPr>
            <w:tcW w:w="6220" w:type="dxa"/>
            <w:vAlign w:val="bottom"/>
            <w:gridSpan w:val="9"/>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3"/>
        </w:trPr>
        <w:tc>
          <w:tcPr>
            <w:tcW w:w="7740" w:type="dxa"/>
            <w:vAlign w:val="bottom"/>
            <w:tcBorders>
              <w:bottom w:val="single" w:sz="8" w:color="0000EE"/>
            </w:tcBorders>
            <w:gridSpan w:val="10"/>
          </w:tcPr>
          <w:p>
            <w:pPr>
              <w:spacing w:after="0" w:line="193"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 the years ended June 30, 2021 and 2022</w:t>
            </w:r>
          </w:p>
        </w:tc>
        <w:tc>
          <w:tcPr>
            <w:tcW w:w="2660" w:type="dxa"/>
            <w:vAlign w:val="bottom"/>
            <w:gridSpan w:val="5"/>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3"/>
        </w:trPr>
        <w:tc>
          <w:tcPr>
            <w:tcW w:w="1040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EE"/>
              </w:rPr>
              <w:t>Consolidated Statements of Changes in Invested Deficit / Shareholders’ Deficit for the years ended June 30, 2021 and 2022</w:t>
            </w: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3"/>
        </w:trPr>
        <w:tc>
          <w:tcPr>
            <w:tcW w:w="6000" w:type="dxa"/>
            <w:vAlign w:val="bottom"/>
            <w:tcBorders>
              <w:top w:val="single" w:sz="8" w:color="0000EE"/>
              <w:bottom w:val="single" w:sz="8" w:color="0000EE"/>
            </w:tcBorders>
            <w:gridSpan w:val="8"/>
          </w:tcPr>
          <w:p>
            <w:pPr>
              <w:spacing w:after="0" w:line="193" w:lineRule="exact"/>
              <w:rPr>
                <w:sz w:val="20"/>
                <w:szCs w:val="20"/>
                <w:color w:val="auto"/>
              </w:rPr>
            </w:pPr>
            <w:r>
              <w:rPr>
                <w:rFonts w:ascii="Times New Roman" w:cs="Times New Roman" w:eastAsia="Times New Roman" w:hAnsi="Times New Roman"/>
                <w:sz w:val="18"/>
                <w:szCs w:val="18"/>
                <w:color w:val="0000EE"/>
                <w:w w:val="98"/>
              </w:rPr>
              <w:t>Consolidated Statements of Cash Flows for the years ended June 30, 2021 and 2022</w:t>
            </w:r>
          </w:p>
        </w:tc>
        <w:tc>
          <w:tcPr>
            <w:tcW w:w="2740" w:type="dxa"/>
            <w:vAlign w:val="bottom"/>
            <w:tcBorders>
              <w:top w:val="single" w:sz="8" w:color="0000EE"/>
            </w:tcBorders>
            <w:gridSpan w:val="3"/>
          </w:tcPr>
          <w:p>
            <w:pPr>
              <w:spacing w:after="0"/>
              <w:rPr>
                <w:sz w:val="16"/>
                <w:szCs w:val="16"/>
                <w:color w:val="auto"/>
              </w:rPr>
            </w:pPr>
          </w:p>
        </w:tc>
        <w:tc>
          <w:tcPr>
            <w:tcW w:w="1660" w:type="dxa"/>
            <w:vAlign w:val="bottom"/>
            <w:gridSpan w:val="4"/>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3"/>
        </w:trPr>
        <w:tc>
          <w:tcPr>
            <w:tcW w:w="3100" w:type="dxa"/>
            <w:vAlign w:val="bottom"/>
            <w:tcBorders>
              <w:bottom w:val="single" w:sz="8" w:color="0000EE"/>
            </w:tcBorders>
            <w:gridSpan w:val="4"/>
          </w:tcPr>
          <w:p>
            <w:pPr>
              <w:spacing w:after="0" w:line="193" w:lineRule="exact"/>
              <w:rPr>
                <w:sz w:val="20"/>
                <w:szCs w:val="20"/>
                <w:color w:val="auto"/>
              </w:rPr>
            </w:pPr>
            <w:r>
              <w:rPr>
                <w:rFonts w:ascii="Times New Roman" w:cs="Times New Roman" w:eastAsia="Times New Roman" w:hAnsi="Times New Roman"/>
                <w:sz w:val="18"/>
                <w:szCs w:val="18"/>
                <w:color w:val="0000EE"/>
                <w:w w:val="97"/>
              </w:rPr>
              <w:t>Notes to Consolidated Financial Statements</w:t>
            </w:r>
          </w:p>
        </w:tc>
        <w:tc>
          <w:tcPr>
            <w:tcW w:w="7300" w:type="dxa"/>
            <w:vAlign w:val="bottom"/>
            <w:gridSpan w:val="11"/>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659"/>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180" w:type="dxa"/>
            <w:vAlign w:val="bottom"/>
            <w:gridSpan w:val="1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INDEX TO UNAUDITED INTERIM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Unaudited Interim Condensed Consolidated Balance Sheets as of June 30, 2022 and September 30, 2022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166"/>
        </w:trPr>
        <w:tc>
          <w:tcPr>
            <w:tcW w:w="10400" w:type="dxa"/>
            <w:vAlign w:val="bottom"/>
            <w:gridSpan w:val="15"/>
            <w:vMerge w:val="continue"/>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F-60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0" w:type="dxa"/>
            <w:vAlign w:val="bottom"/>
            <w:tcBorders>
              <w:bottom w:val="single" w:sz="8" w:color="0000EE"/>
            </w:tcBorders>
            <w:gridSpan w:val="14"/>
          </w:tcPr>
          <w:p>
            <w:pPr>
              <w:spacing w:after="0" w:line="193" w:lineRule="exact"/>
              <w:rPr>
                <w:sz w:val="20"/>
                <w:szCs w:val="20"/>
                <w:color w:val="auto"/>
              </w:rPr>
            </w:pPr>
            <w:r>
              <w:rPr>
                <w:rFonts w:ascii="Times New Roman" w:cs="Times New Roman" w:eastAsia="Times New Roman" w:hAnsi="Times New Roman"/>
                <w:sz w:val="18"/>
                <w:szCs w:val="18"/>
                <w:color w:val="0000EE"/>
                <w:w w:val="98"/>
              </w:rPr>
              <w:t>Unaudited Interim Condensed Consolidated Statements of Operations and Comprehensive Loss for the three months ended September 30,</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022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EE"/>
              </w:rPr>
              <w:t>2021 and 2022</w:t>
            </w: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F-63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Changes in Invested Deficit / Shareholders’ Deficit for the three months ended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 w:type="dxa"/>
            <w:vAlign w:val="bottom"/>
            <w:tcBorders>
              <w:top w:val="single" w:sz="8" w:color="0000EE"/>
            </w:tcBorders>
          </w:tcPr>
          <w:p>
            <w:pPr>
              <w:spacing w:after="0"/>
              <w:rPr>
                <w:sz w:val="16"/>
                <w:szCs w:val="16"/>
                <w:color w:val="auto"/>
              </w:rPr>
            </w:pPr>
          </w:p>
        </w:tc>
        <w:tc>
          <w:tcPr>
            <w:tcW w:w="2120" w:type="dxa"/>
            <w:vAlign w:val="bottom"/>
            <w:tcBorders>
              <w:top w:val="single" w:sz="8" w:color="0000EE"/>
              <w:bottom w:val="single" w:sz="8" w:color="0000EE"/>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EE"/>
                <w:w w:val="97"/>
              </w:rPr>
              <w:t>September 30, 2021 and 2022</w:t>
            </w:r>
          </w:p>
        </w:tc>
        <w:tc>
          <w:tcPr>
            <w:tcW w:w="7440" w:type="dxa"/>
            <w:vAlign w:val="bottom"/>
            <w:tcBorders>
              <w:top w:val="single" w:sz="8" w:color="0000EE"/>
            </w:tcBorders>
            <w:gridSpan w:val="10"/>
          </w:tcPr>
          <w:p>
            <w:pPr>
              <w:spacing w:after="0"/>
              <w:rPr>
                <w:sz w:val="16"/>
                <w:szCs w:val="16"/>
                <w:color w:val="auto"/>
              </w:rPr>
            </w:pPr>
          </w:p>
        </w:tc>
        <w:tc>
          <w:tcPr>
            <w:tcW w:w="660" w:type="dxa"/>
            <w:vAlign w:val="bottom"/>
            <w:gridSpan w:val="2"/>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F-64</w:t>
            </w:r>
          </w:p>
        </w:tc>
        <w:tc>
          <w:tcPr>
            <w:tcW w:w="0" w:type="dxa"/>
            <w:vAlign w:val="bottom"/>
          </w:tcPr>
          <w:p>
            <w:pPr>
              <w:spacing w:after="0"/>
              <w:rPr>
                <w:sz w:val="1"/>
                <w:szCs w:val="1"/>
                <w:color w:val="auto"/>
              </w:rPr>
            </w:pPr>
          </w:p>
        </w:tc>
      </w:tr>
      <w:tr>
        <w:trPr>
          <w:trHeight w:val="193"/>
        </w:trPr>
        <w:tc>
          <w:tcPr>
            <w:tcW w:w="9120" w:type="dxa"/>
            <w:vAlign w:val="bottom"/>
            <w:tcBorders>
              <w:bottom w:val="single" w:sz="8" w:color="0000EE"/>
            </w:tcBorders>
            <w:gridSpan w:val="12"/>
          </w:tcPr>
          <w:p>
            <w:pPr>
              <w:spacing w:after="0" w:line="193" w:lineRule="exact"/>
              <w:rPr>
                <w:sz w:val="20"/>
                <w:szCs w:val="20"/>
                <w:color w:val="auto"/>
              </w:rPr>
            </w:pPr>
            <w:r>
              <w:rPr>
                <w:rFonts w:ascii="Times New Roman" w:cs="Times New Roman" w:eastAsia="Times New Roman" w:hAnsi="Times New Roman"/>
                <w:sz w:val="18"/>
                <w:szCs w:val="18"/>
                <w:color w:val="0000EE"/>
                <w:w w:val="98"/>
              </w:rPr>
              <w:t>Unaudited Interim Condensed Consolidated Statements of Cash Flows for the three months ended September 30, 2021 and 2022</w:t>
            </w:r>
          </w:p>
        </w:tc>
        <w:tc>
          <w:tcPr>
            <w:tcW w:w="1280" w:type="dxa"/>
            <w:vAlign w:val="bottom"/>
            <w:gridSpan w:val="3"/>
          </w:tcPr>
          <w:p>
            <w:pPr>
              <w:spacing w:after="0"/>
              <w:rPr>
                <w:sz w:val="16"/>
                <w:szCs w:val="16"/>
                <w:color w:val="auto"/>
              </w:rPr>
            </w:pP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F-65</w:t>
            </w:r>
          </w:p>
        </w:tc>
        <w:tc>
          <w:tcPr>
            <w:tcW w:w="0" w:type="dxa"/>
            <w:vAlign w:val="bottom"/>
          </w:tcPr>
          <w:p>
            <w:pPr>
              <w:spacing w:after="0"/>
              <w:rPr>
                <w:sz w:val="1"/>
                <w:szCs w:val="1"/>
                <w:color w:val="auto"/>
              </w:rPr>
            </w:pPr>
          </w:p>
        </w:tc>
      </w:tr>
      <w:tr>
        <w:trPr>
          <w:trHeight w:val="193"/>
        </w:trPr>
        <w:tc>
          <w:tcPr>
            <w:tcW w:w="1040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EE"/>
              </w:rPr>
              <w:t>Notes to Unaudited Interim Condensed Consolidated Financial Statements</w:t>
            </w: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F-67</w:t>
            </w:r>
          </w:p>
        </w:tc>
        <w:tc>
          <w:tcPr>
            <w:tcW w:w="0" w:type="dxa"/>
            <w:vAlign w:val="bottom"/>
          </w:tcPr>
          <w:p>
            <w:pPr>
              <w:spacing w:after="0"/>
              <w:rPr>
                <w:sz w:val="1"/>
                <w:szCs w:val="1"/>
                <w:color w:val="auto"/>
              </w:rPr>
            </w:pPr>
          </w:p>
        </w:tc>
      </w:tr>
      <w:tr>
        <w:trPr>
          <w:trHeight w:val="380"/>
        </w:trPr>
        <w:tc>
          <w:tcPr>
            <w:tcW w:w="1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120" w:type="dxa"/>
            <w:vAlign w:val="bottom"/>
            <w:gridSpan w:val="8"/>
          </w:tcPr>
          <w:p>
            <w:pPr>
              <w:jc w:val="center"/>
              <w:ind w:right="484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2" w:right="5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Board of Directors and Shareholders of QuantaSing Group Limited</w:t>
      </w: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6"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QuantaSing Group Limited and its subsidiaries (the “Company”) as of June 30, 2022 and 2021, and the related consolidated statements of operations and comprehensive loss, of changes in invested deficit /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June 30, 2022 and 2021, and the results of its operations and its cash flows for the years then ended in conformity with accounting principles generally accepted in the United States of America.</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6" w:lineRule="exact"/>
        <w:rPr>
          <w:sz w:val="20"/>
          <w:szCs w:val="20"/>
          <w:color w:val="auto"/>
        </w:rPr>
      </w:pPr>
    </w:p>
    <w:p>
      <w:pPr>
        <w:ind w:left="200" w:right="400"/>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200" w:right="120"/>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6" w:lineRule="exact"/>
        <w:rPr>
          <w:sz w:val="20"/>
          <w:szCs w:val="20"/>
          <w:color w:val="auto"/>
        </w:rPr>
      </w:pPr>
    </w:p>
    <w:p>
      <w:pPr>
        <w:ind w:left="200" w:right="120"/>
        <w:spacing w:after="0" w:line="253" w:lineRule="auto"/>
        <w:rPr>
          <w:sz w:val="20"/>
          <w:szCs w:val="20"/>
          <w:color w:val="auto"/>
        </w:rPr>
      </w:pPr>
      <w:r>
        <w:rPr>
          <w:rFonts w:ascii="Times New Roman" w:cs="Times New Roman" w:eastAsia="Times New Roman" w:hAnsi="Times New Roman"/>
          <w:sz w:val="18"/>
          <w:szCs w:val="18"/>
          <w:color w:val="auto"/>
        </w:rPr>
        <w:t>September 29, 2022, except for the effects of updating the convenience translation discussed in Note 2(e) to the consolidated financial statements, as to which the date is December 20, 2022</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40"/>
          </w:cols>
          <w:pgMar w:left="320" w:top="452" w:right="5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0" w:type="dxa"/>
            <w:vAlign w:val="bottom"/>
            <w:vMerge w:val="restart"/>
          </w:tcPr>
          <w:p>
            <w:pPr>
              <w:ind w:left="40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0" w:type="dxa"/>
            <w:vAlign w:val="bottom"/>
            <w:vMerge w:val="continue"/>
          </w:tcPr>
          <w:p>
            <w:pPr>
              <w:spacing w:after="0"/>
              <w:rPr>
                <w:sz w:val="12"/>
                <w:szCs w:val="12"/>
                <w:color w:val="auto"/>
              </w:rPr>
            </w:pPr>
          </w:p>
        </w:tc>
        <w:tc>
          <w:tcPr>
            <w:tcW w:w="660" w:type="dxa"/>
            <w:vAlign w:val="bottom"/>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gridSpan w:val="2"/>
          </w:tcPr>
          <w:p>
            <w:pPr>
              <w:jc w:val="right"/>
              <w:ind w:right="11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4400" w:type="dxa"/>
            <w:vAlign w:val="bottom"/>
          </w:tcPr>
          <w:p>
            <w:pPr>
              <w:jc w:val="center"/>
              <w:ind w:left="3793"/>
              <w:spacing w:after="0"/>
              <w:rPr>
                <w:sz w:val="20"/>
                <w:szCs w:val="20"/>
                <w:color w:val="auto"/>
              </w:rPr>
            </w:pPr>
            <w:r>
              <w:rPr>
                <w:rFonts w:ascii="Times New Roman" w:cs="Times New Roman" w:eastAsia="Times New Roman" w:hAnsi="Times New Roman"/>
                <w:sz w:val="18"/>
                <w:szCs w:val="18"/>
                <w:color w:val="auto"/>
                <w:w w:val="88"/>
              </w:rPr>
              <w:t>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0" w:type="dxa"/>
            <w:vAlign w:val="bottom"/>
            <w:shd w:val="clear" w:color="auto" w:fill="CCEEFF"/>
          </w:tcPr>
          <w:p>
            <w:pPr>
              <w:jc w:val="center"/>
              <w:ind w:left="3793"/>
              <w:spacing w:after="0"/>
              <w:rPr>
                <w:sz w:val="20"/>
                <w:szCs w:val="20"/>
                <w:color w:val="auto"/>
              </w:rPr>
            </w:pPr>
            <w:r>
              <w:rPr>
                <w:rFonts w:ascii="Times New Roman" w:cs="Times New Roman" w:eastAsia="Times New Roman" w:hAnsi="Times New Roman"/>
                <w:sz w:val="18"/>
                <w:szCs w:val="18"/>
                <w:color w:val="auto"/>
                <w:w w:val="88"/>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400" w:type="dxa"/>
            <w:vAlign w:val="bottom"/>
          </w:tcPr>
          <w:p>
            <w:pPr>
              <w:jc w:val="center"/>
              <w:ind w:left="3773"/>
              <w:spacing w:after="0"/>
              <w:rPr>
                <w:sz w:val="20"/>
                <w:szCs w:val="20"/>
                <w:color w:val="auto"/>
              </w:rPr>
            </w:pPr>
            <w:r>
              <w:rPr>
                <w:rFonts w:ascii="Times New Roman" w:cs="Times New Roman" w:eastAsia="Times New Roman" w:hAnsi="Times New Roman"/>
                <w:sz w:val="18"/>
                <w:szCs w:val="18"/>
                <w:color w:val="auto"/>
                <w:w w:val="99"/>
              </w:rPr>
              <w:t>18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400" w:type="dxa"/>
            <w:vAlign w:val="bottom"/>
            <w:shd w:val="clear" w:color="auto" w:fill="CCEEFF"/>
          </w:tcPr>
          <w:p>
            <w:pPr>
              <w:jc w:val="center"/>
              <w:ind w:left="3793"/>
              <w:spacing w:after="0"/>
              <w:rPr>
                <w:sz w:val="20"/>
                <w:szCs w:val="20"/>
                <w:color w:val="auto"/>
              </w:rPr>
            </w:pPr>
            <w:r>
              <w:rPr>
                <w:rFonts w:ascii="Times New Roman" w:cs="Times New Roman" w:eastAsia="Times New Roman" w:hAnsi="Times New Roman"/>
                <w:sz w:val="18"/>
                <w:szCs w:val="18"/>
                <w:color w:val="auto"/>
                <w:w w:val="88"/>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274,887</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563,950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0" w:type="dxa"/>
            <w:vAlign w:val="bottom"/>
          </w:tcPr>
          <w:p>
            <w:pPr>
              <w:jc w:val="center"/>
              <w:ind w:left="3793"/>
              <w:spacing w:after="0"/>
              <w:rPr>
                <w:sz w:val="20"/>
                <w:szCs w:val="20"/>
                <w:color w:val="auto"/>
              </w:rPr>
            </w:pPr>
            <w:r>
              <w:rPr>
                <w:rFonts w:ascii="Times New Roman" w:cs="Times New Roman" w:eastAsia="Times New Roman" w:hAnsi="Times New Roman"/>
                <w:sz w:val="18"/>
                <w:szCs w:val="18"/>
                <w:color w:val="auto"/>
                <w:w w:val="88"/>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4400" w:type="dxa"/>
            <w:vAlign w:val="bottom"/>
            <w:shd w:val="clear" w:color="auto" w:fill="CCEEFF"/>
          </w:tcPr>
          <w:p>
            <w:pPr>
              <w:jc w:val="center"/>
              <w:ind w:left="3793"/>
              <w:spacing w:after="0"/>
              <w:rPr>
                <w:sz w:val="20"/>
                <w:szCs w:val="20"/>
                <w:color w:val="auto"/>
              </w:rPr>
            </w:pPr>
            <w:r>
              <w:rPr>
                <w:rFonts w:ascii="Times New Roman" w:cs="Times New Roman" w:eastAsia="Times New Roman" w:hAnsi="Times New Roman"/>
                <w:sz w:val="18"/>
                <w:szCs w:val="18"/>
                <w:color w:val="auto"/>
                <w:w w:val="88"/>
              </w:rPr>
              <w:t>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0" w:type="dxa"/>
            <w:vAlign w:val="bottom"/>
          </w:tcPr>
          <w:p>
            <w:pPr>
              <w:jc w:val="center"/>
              <w:ind w:left="3773"/>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55,339</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39,516</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603,466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F-3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gridSpan w:val="2"/>
          </w:tcPr>
          <w:p>
            <w:pPr>
              <w:jc w:val="right"/>
              <w:ind w:right="17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Accounts payables (including amounts of the consolidated VIE without recourse to the primary</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beneficiary of RMB74,462 and RMB45,178 as of June 30, 2021 and 2022, respectively)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Accrued expenses and other current liabilities (including amounts of the consolidated VIE without</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recourse to the primary beneficiary of RMB51,765 and RMB77,616 as of June 30, 2021 and 2022,</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Amounts due to related parties (including amounts of the consolidated VIE without recourse to the</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primary beneficiary of RMB7,000 and nil as of June 30, 2021 and 2022, respectively)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Income tax payable (including amounts of the consolidated VIE without recourse to the primary</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beneficiary of RMB2,303 and RMB7,298 as of June 30, 2021 and 2022, respectively)</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Contract liabilities, current portion (including amounts of the consolidated VIE without recourse to</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primary beneficiary of RMB267,729 and RMB384,729 as of June 30, 2021 and 2022,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384,729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w w:val="99"/>
              </w:rPr>
              <w:t>Advance from customers (including amounts of the consolidated VIE without recourse to the primary</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beneficiary of RMB133,201 and RMB151,089 as of June 30, 2021 and 2022, respectively)</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151,089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Operating lease liabilities, current portion (including amounts of the consolidated VIE without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recourse to the primary beneficiary of RMB7,091 and RMB14,875 as of June 30, 2021 and 2022,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573,264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713,217</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w w:val="99"/>
              </w:rPr>
              <w:t>Contract liabilities, non-current portion (including amounts of the consolidated VIE without recourse</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the primary beneficiary of RMB26,358 and RMB8,869 as of June 30, 2021 and 2022,</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Operating lease liabilities, non-current portion (including amounts of the consolidated VIE without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recourse to the primary beneficiary of RMB1,942 and RMB6,522 as of June 30, 2021 and 2022,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Deferred tax liabilities (including amounts of the consolidated VIE without recourse to the primary</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beneficiary of RMB8,168 and nil as of June 30, 2021 and 2022, respectively)</w:t>
            </w:r>
          </w:p>
        </w:tc>
        <w:tc>
          <w:tcPr>
            <w:tcW w:w="5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60" w:type="dxa"/>
            <w:vAlign w:val="bottom"/>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609,732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728,652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F-4</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00" w:type="dxa"/>
            <w:vAlign w:val="bottom"/>
          </w:tcPr>
          <w:p>
            <w:pPr>
              <w:jc w:val="right"/>
              <w:ind w:right="13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780" w:type="dxa"/>
            <w:vAlign w:val="bottom"/>
            <w:gridSpan w:val="2"/>
          </w:tcPr>
          <w:p>
            <w:pPr>
              <w:jc w:val="right"/>
              <w:ind w:right="13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60" w:type="dxa"/>
            <w:vAlign w:val="bottom"/>
            <w:gridSpan w:val="2"/>
          </w:tcPr>
          <w:p>
            <w:pPr>
              <w:jc w:val="right"/>
              <w:ind w:right="19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US$ Note 2(e)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A convertible redeemable preferred shares (US$0.0001 par value, 22,000,000 shares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tcPr>
          <w:p>
            <w:pPr>
              <w:spacing w:after="0"/>
              <w:rPr>
                <w:sz w:val="20"/>
                <w:szCs w:val="20"/>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B convertible redeemable preferred shares (US$0.0001 par value, 23,983,789 shares</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94,833</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B-1 convertible redeemable preferred shares (US$0.0001 par value, 7,913,872 shares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tcPr>
          <w:p>
            <w:pPr>
              <w:spacing w:after="0"/>
              <w:rPr>
                <w:sz w:val="20"/>
                <w:szCs w:val="20"/>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C convertible redeemable preferred shares (US$0.0001 par value, 20,327,789 shares</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D convertible redeemable preferred shares (US$0.0001 par value, 11,818,754 shares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tcPr>
          <w:p>
            <w:pPr>
              <w:spacing w:after="0"/>
              <w:rPr>
                <w:sz w:val="20"/>
                <w:szCs w:val="20"/>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104,156</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E convertible redeemable preferred shares (US$0.0001 par value, 14,799,427 shares</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no shares authorized, issued and</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5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240,665</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664,160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INVESTED DEFICIT / SHAREHOLDERS’ DEFICIT</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Parent Company’s investment deficit</w:t>
            </w:r>
          </w:p>
        </w:tc>
        <w:tc>
          <w:tcPr>
            <w:tcW w:w="5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(279,506)</w:t>
            </w:r>
          </w:p>
        </w:tc>
        <w:tc>
          <w:tcPr>
            <w:tcW w:w="80" w:type="dxa"/>
            <w:vAlign w:val="bottom"/>
          </w:tcPr>
          <w:p>
            <w:pPr>
              <w:spacing w:after="0"/>
              <w:rPr>
                <w:sz w:val="18"/>
                <w:szCs w:val="18"/>
                <w:color w:val="auto"/>
              </w:rPr>
            </w:pPr>
          </w:p>
        </w:tc>
        <w:tc>
          <w:tcPr>
            <w:tcW w:w="8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ordinary shares (US$0.0001 par value; 345,113,731 shares authorized, 4,783,589 shares</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as of June 30, 2022; no shares authorized, issued and outstanding as of</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June 30, 2021)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ordinary shares (US$0.0001 par value; 54,042,638 shares authorized, 49,859,049 shares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outstanding as of June 30, 2022; no shares authorized, issued and outstanding as of</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June 30, 2021).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Accumulative deficit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(861,151)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(121,059)</w:t>
            </w:r>
          </w:p>
        </w:tc>
        <w:tc>
          <w:tcPr>
            <w:tcW w:w="0" w:type="dxa"/>
            <w:vAlign w:val="bottom"/>
          </w:tcPr>
          <w:p>
            <w:pPr>
              <w:spacing w:after="0"/>
              <w:rPr>
                <w:sz w:val="1"/>
                <w:szCs w:val="1"/>
                <w:color w:val="auto"/>
              </w:rPr>
            </w:pPr>
          </w:p>
        </w:tc>
      </w:tr>
      <w:tr>
        <w:trPr>
          <w:trHeight w:val="22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INVESTED DEFICIT / SHAREHOLDERS’ DEFICIT</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w w:val="98"/>
              </w:rPr>
              <w:t>TOTAL LIABILITIES, MEZZANINE EQUITY AND INVESTED DEFICIT / SHAREHOLDERS’</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5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330,226</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603,466</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60"/>
          </w:cols>
          <w:pgMar w:left="320" w:top="452" w:right="5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4160"/>
        <w:spacing w:after="0" w:line="308" w:lineRule="auto"/>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 (All amounts in thousands, except for share and per share data, or otherwise noted)</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740" w:type="dxa"/>
            <w:vAlign w:val="bottom"/>
            <w:tcBorders>
              <w:bottom w:val="single" w:sz="8" w:color="auto"/>
            </w:tcBorders>
            <w:gridSpan w:val="5"/>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31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93"/>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(including revenue from related parties of nil and RMB44,710 for the years</w:t>
            </w:r>
          </w:p>
        </w:tc>
        <w:tc>
          <w:tcPr>
            <w:tcW w:w="7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403,173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June 30, 2021 and 2022, respectively)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2(q)</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(178,927)</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1,581,013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2,459,217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(1,694,941)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(100,341)</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(1,911,547)</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(2,694,593)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(330,534)</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(235,376)</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(315,000)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7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7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(231,587)</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(316,037)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accretion of Predecessors’ preferred shares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6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Allocation of deemed dividends due to extinguishment of Predecessors’ preferred</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(197,436)</w:t>
            </w:r>
          </w:p>
        </w:tc>
        <w:tc>
          <w:tcPr>
            <w:tcW w:w="220" w:type="dxa"/>
            <w:vAlign w:val="bottom"/>
          </w:tcPr>
          <w:p>
            <w:pPr>
              <w:spacing w:after="0"/>
              <w:rPr>
                <w:sz w:val="20"/>
                <w:szCs w:val="20"/>
                <w:color w:val="auto"/>
              </w:rPr>
            </w:pPr>
          </w:p>
        </w:tc>
        <w:tc>
          <w:tcPr>
            <w:tcW w:w="14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16,17</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QuantaSing Group Limited</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(530,953)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 per share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41,206,648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49,270,950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49,270,950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41,206,648</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49,270,950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49,270,950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(27,583)</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(23,973)</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(86,682)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(48,715)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(120,558)</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(22,865)</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(56,606)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60"/>
          </w:cols>
          <w:pgMar w:left="320" w:top="452" w:right="5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2560"/>
        <w:spacing w:after="0" w:line="277" w:lineRule="auto"/>
        <w:rPr>
          <w:sz w:val="20"/>
          <w:szCs w:val="20"/>
          <w:color w:val="auto"/>
        </w:rPr>
      </w:pPr>
      <w:r>
        <w:rPr>
          <w:rFonts w:ascii="Times New Roman" w:cs="Times New Roman" w:eastAsia="Times New Roman" w:hAnsi="Times New Roman"/>
          <w:sz w:val="18"/>
          <w:szCs w:val="18"/>
          <w:b w:val="1"/>
          <w:bCs w:val="1"/>
          <w:color w:val="auto"/>
        </w:rPr>
        <w:t>CONSOLIDATED STATEMENTS OF CHANGES IN INVESTED DEFICIT / SHAREHOLDERS’ DEFICIT (All amounts in thousands, except for share data and per share data, or otherwise noted)</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60" w:type="dxa"/>
            <w:vAlign w:val="bottom"/>
          </w:tcPr>
          <w:p>
            <w:pPr>
              <w:spacing w:after="0"/>
              <w:rPr>
                <w:sz w:val="13"/>
                <w:szCs w:val="13"/>
                <w:color w:val="auto"/>
              </w:rPr>
            </w:pPr>
          </w:p>
        </w:tc>
        <w:tc>
          <w:tcPr>
            <w:tcW w:w="16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Total invested</w:t>
            </w: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820" w:type="dxa"/>
            <w:vAlign w:val="bottom"/>
            <w:gridSpan w:val="3"/>
            <w:vMerge w:val="restart"/>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90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restart"/>
          </w:tcPr>
          <w:p>
            <w:pPr>
              <w:jc w:val="center"/>
              <w:ind w:right="41"/>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Company’s</w:t>
            </w:r>
          </w:p>
        </w:tc>
        <w:tc>
          <w:tcPr>
            <w:tcW w:w="60" w:type="dxa"/>
            <w:vAlign w:val="bottom"/>
          </w:tcPr>
          <w:p>
            <w:pPr>
              <w:spacing w:after="0"/>
              <w:rPr>
                <w:sz w:val="6"/>
                <w:szCs w:val="6"/>
                <w:color w:val="auto"/>
              </w:rPr>
            </w:pPr>
          </w:p>
        </w:tc>
        <w:tc>
          <w:tcPr>
            <w:tcW w:w="960" w:type="dxa"/>
            <w:vAlign w:val="bottom"/>
            <w:gridSpan w:val="2"/>
            <w:vMerge w:val="restart"/>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deficit /</w:t>
            </w:r>
          </w:p>
        </w:tc>
        <w:tc>
          <w:tcPr>
            <w:tcW w:w="0" w:type="dxa"/>
            <w:vAlign w:val="bottom"/>
          </w:tcPr>
          <w:p>
            <w:pPr>
              <w:spacing w:after="0"/>
              <w:rPr>
                <w:sz w:val="1"/>
                <w:szCs w:val="1"/>
                <w:color w:val="auto"/>
              </w:rPr>
            </w:pPr>
          </w:p>
        </w:tc>
      </w:tr>
      <w:tr>
        <w:trPr>
          <w:trHeight w:val="66"/>
        </w:trPr>
        <w:tc>
          <w:tcPr>
            <w:tcW w:w="2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Borders>
              <w:bottom w:val="single" w:sz="8" w:color="auto"/>
            </w:tcBorders>
            <w:gridSpan w:val="2"/>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9"/>
                <w:szCs w:val="9"/>
                <w:color w:val="auto"/>
              </w:rPr>
            </w:pPr>
          </w:p>
        </w:tc>
        <w:tc>
          <w:tcPr>
            <w:tcW w:w="820" w:type="dxa"/>
            <w:vAlign w:val="bottom"/>
            <w:gridSpan w:val="2"/>
            <w:vMerge w:val="restart"/>
          </w:tcPr>
          <w:p>
            <w:pPr>
              <w:jc w:val="center"/>
              <w:ind w:right="101"/>
              <w:spacing w:after="0" w:line="147"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9"/>
                <w:szCs w:val="9"/>
                <w:color w:val="auto"/>
              </w:rPr>
            </w:pPr>
          </w:p>
        </w:tc>
        <w:tc>
          <w:tcPr>
            <w:tcW w:w="960" w:type="dxa"/>
            <w:vAlign w:val="bottom"/>
            <w:gridSpan w:val="2"/>
            <w:vMerge w:val="restart"/>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line="20" w:lineRule="exact"/>
              <w:rPr>
                <w:sz w:val="1"/>
                <w:szCs w:val="1"/>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82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1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jc w:val="right"/>
              <w:ind w:right="12"/>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1, 2020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(28,258)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(28,258)</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94,028</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Repurchase of vested restricted</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(5,638)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w w:val="99"/>
              </w:rPr>
              <w:t>Distribution to Parent Company</w:t>
            </w:r>
          </w:p>
        </w:tc>
        <w:tc>
          <w:tcPr>
            <w:tcW w:w="4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(23,601)</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(23,601)</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(316,037)</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(316,037)</w:t>
            </w:r>
          </w:p>
        </w:tc>
        <w:tc>
          <w:tcPr>
            <w:tcW w:w="0" w:type="dxa"/>
            <w:vAlign w:val="bottom"/>
          </w:tcPr>
          <w:p>
            <w:pPr>
              <w:spacing w:after="0"/>
              <w:rPr>
                <w:sz w:val="1"/>
                <w:szCs w:val="1"/>
                <w:color w:val="auto"/>
              </w:rPr>
            </w:pPr>
          </w:p>
        </w:tc>
      </w:tr>
      <w:tr>
        <w:trPr>
          <w:trHeight w:val="21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48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as of July 1, 2021</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13"/>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455"/>
              <w:spacing w:after="0" w:line="20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1"/>
              <w:spacing w:after="0" w:line="206" w:lineRule="exact"/>
              <w:rPr>
                <w:sz w:val="20"/>
                <w:szCs w:val="20"/>
                <w:color w:val="auto"/>
              </w:rPr>
            </w:pPr>
            <w:r>
              <w:rPr>
                <w:rFonts w:ascii="Times New Roman" w:cs="Times New Roman" w:eastAsia="Times New Roman" w:hAnsi="Times New Roman"/>
                <w:sz w:val="18"/>
                <w:szCs w:val="18"/>
                <w:b w:val="1"/>
                <w:bCs w:val="1"/>
                <w:color w:val="auto"/>
              </w:rPr>
              <w:t>(279,506)</w:t>
            </w:r>
          </w:p>
        </w:tc>
        <w:tc>
          <w:tcPr>
            <w:tcW w:w="102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b w:val="1"/>
                <w:bCs w:val="1"/>
                <w:color w:val="auto"/>
              </w:rPr>
              <w:t>(279,506)</w:t>
            </w:r>
          </w:p>
        </w:tc>
        <w:tc>
          <w:tcPr>
            <w:tcW w:w="0" w:type="dxa"/>
            <w:vAlign w:val="bottom"/>
          </w:tcPr>
          <w:p>
            <w:pPr>
              <w:spacing w:after="0"/>
              <w:rPr>
                <w:sz w:val="1"/>
                <w:szCs w:val="1"/>
                <w:color w:val="auto"/>
              </w:rPr>
            </w:pPr>
          </w:p>
        </w:tc>
      </w:tr>
      <w:tr>
        <w:trPr>
          <w:trHeight w:val="194"/>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the Company’s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upon the completion</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reorganization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54,042,638</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(660,099)</w:t>
            </w: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(1,106)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(661,173)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Parent Company’s contribution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1(b)</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94,978</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Dividend to Parent Company</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upon disposal of a subsidiary</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shareholders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4"/>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Re-designation of Class B</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to Class A</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of the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4,183,589</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(4,183,589)</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Accretion of the Company’s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(201,052)</w:t>
            </w: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(32,374)</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(233,426)</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Currency translation</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differences</w:t>
            </w:r>
          </w:p>
        </w:tc>
        <w:tc>
          <w:tcPr>
            <w:tcW w:w="4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8"/>
              </w:rPr>
              <w:t>1,839</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Share-based awards to</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employees of related parties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Deemed dividends to Parent</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in connection with</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share-based awards to</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 of related parties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(10,365)</w:t>
            </w:r>
          </w:p>
        </w:tc>
        <w:tc>
          <w:tcPr>
            <w:tcW w:w="0" w:type="dxa"/>
            <w:vAlign w:val="bottom"/>
          </w:tcPr>
          <w:p>
            <w:pPr>
              <w:spacing w:after="0"/>
              <w:rPr>
                <w:sz w:val="1"/>
                <w:szCs w:val="1"/>
                <w:color w:val="auto"/>
              </w:rPr>
            </w:pPr>
          </w:p>
        </w:tc>
      </w:tr>
      <w:tr>
        <w:trPr>
          <w:trHeight w:val="21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4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4,783,589</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49,859,049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b w:val="1"/>
                <w:bCs w:val="1"/>
                <w:color w:val="auto"/>
                <w:w w:val="98"/>
              </w:rPr>
              <w:t>1,839</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7"/>
              </w:rPr>
              <w:t>(861,151)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452" w:right="51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27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8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r>
      <w:tr>
        <w:trPr>
          <w:trHeight w:val="115"/>
        </w:trPr>
        <w:tc>
          <w:tcPr>
            <w:tcW w:w="8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r>
      <w:tr>
        <w:trPr>
          <w:trHeight w:val="184"/>
        </w:trPr>
        <w:tc>
          <w:tcPr>
            <w:tcW w:w="812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 2(e)</w:t>
            </w: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(316,037)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(233,426)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(32,816)</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operating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Provision/(Reversal) of allowance for expected credit losses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equipment and intangible assets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gains from short-term investments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40,968</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(98,885)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(23,202)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(3,262)</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(96,774)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(1,446)</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(2,049)</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253,573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from customers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r>
      <w:tr>
        <w:trPr>
          <w:trHeight w:val="219"/>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79,425</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272,636</w:t>
            </w: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38,325</w:t>
            </w:r>
          </w:p>
        </w:tc>
        <w:tc>
          <w:tcPr>
            <w:tcW w:w="140" w:type="dxa"/>
            <w:vAlign w:val="bottom"/>
            <w:shd w:val="clear" w:color="auto" w:fill="CCEEFF"/>
          </w:tcPr>
          <w:p>
            <w:pPr>
              <w:spacing w:after="0"/>
              <w:rPr>
                <w:sz w:val="18"/>
                <w:szCs w:val="18"/>
                <w:color w:val="auto"/>
              </w:rPr>
            </w:pPr>
          </w:p>
        </w:tc>
      </w:tr>
      <w:tr>
        <w:trPr>
          <w:trHeight w:val="366"/>
        </w:trPr>
        <w:tc>
          <w:tcPr>
            <w:tcW w:w="812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F-8</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8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2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5"/>
        </w:trPr>
        <w:tc>
          <w:tcPr>
            <w:tcW w:w="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4"/>
        </w:trPr>
        <w:tc>
          <w:tcPr>
            <w:tcW w:w="4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20" w:type="dxa"/>
            <w:vAlign w:val="bottom"/>
          </w:tcPr>
          <w:p>
            <w:pPr>
              <w:spacing w:after="0"/>
              <w:rPr>
                <w:sz w:val="16"/>
                <w:szCs w:val="16"/>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(434,600)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(976,700)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(137,302)</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(29,804)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income from wealth management products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Disposal of subsidiaries</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 provided to related parties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(129,427)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(18,195)</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 repaid by related parties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109,389</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(62,353)</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(108,581)</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 to) / Contribution from Predecessors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loans from Predecessors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of loans to the Predecessors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(36,763)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(146,182)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(20,550)</w:t>
            </w:r>
          </w:p>
        </w:tc>
        <w:tc>
          <w:tcPr>
            <w:tcW w:w="20" w:type="dxa"/>
            <w:vAlign w:val="bottom"/>
          </w:tcPr>
          <w:p>
            <w:pPr>
              <w:spacing w:after="0"/>
              <w:rPr>
                <w:sz w:val="18"/>
                <w:szCs w:val="18"/>
                <w:color w:val="auto"/>
              </w:rPr>
            </w:pPr>
          </w:p>
        </w:tc>
      </w:tr>
      <w:tr>
        <w:trPr>
          <w:trHeight w:val="27"/>
        </w:trPr>
        <w:tc>
          <w:tcPr>
            <w:tcW w:w="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71,629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241,326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33,925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 year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29,122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Restricted cash at beginning of the year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266,427</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37,454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Restricted cash at end of the year</w:t>
            </w:r>
          </w:p>
        </w:tc>
        <w:tc>
          <w:tcPr>
            <w:tcW w:w="98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(14,761)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(2,075)</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Consideration receivable as a result of disposal of subsidiaries</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0"/>
                <w:szCs w:val="20"/>
                <w:color w:val="auto"/>
              </w:rPr>
            </w:pPr>
          </w:p>
        </w:tc>
      </w:tr>
    </w:tbl>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60"/>
          </w:cols>
          <w:pgMar w:left="320" w:top="452" w:right="5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3" w:lineRule="exact"/>
        <w:rPr>
          <w:sz w:val="20"/>
          <w:szCs w:val="20"/>
          <w:color w:val="auto"/>
        </w:rPr>
      </w:pPr>
    </w:p>
    <w:p>
      <w:pPr>
        <w:ind w:left="620" w:hanging="421"/>
        <w:spacing w:after="0"/>
        <w:tabs>
          <w:tab w:leader="none" w:pos="62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QuantaSing Group Limited (the “Company” or “QuantaSing”) was incorporated in the Cayman Islands on February 9, 2022 as an exempted company with limited liability.</w:t>
      </w:r>
    </w:p>
    <w:p>
      <w:pPr>
        <w:spacing w:after="0" w:line="163" w:lineRule="exact"/>
        <w:rPr>
          <w:rFonts w:ascii="Times New Roman" w:cs="Times New Roman" w:eastAsia="Times New Roman" w:hAnsi="Times New Roman"/>
          <w:sz w:val="18"/>
          <w:szCs w:val="18"/>
          <w:b w:val="1"/>
          <w:bCs w:val="1"/>
          <w:i w:val="1"/>
          <w:iCs w:val="1"/>
          <w:color w:val="auto"/>
        </w:rPr>
      </w:pPr>
    </w:p>
    <w:p>
      <w:pPr>
        <w:ind w:left="64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Company is a newly incorporated investment holding company. The Company’s predecessors were Witty network Limited (“Witty network”, or “WN”), and EW Technology Limited (“EW”) (collectively referred to as the “Predecessors”), both of which were incorporated in the Cayman Islands. The Company (and its Predecessors prior to the reorganization), through its subsidiaries and the consolidated variable interest entities (“VIEs”) for which the Company (and its Predecessors) has a controlling financial interest and is the primary beneficiary (together, the “Group”), is principally engaged in the operation of an online platform to provide individual online learning services to the individual learners and enterprise services to financial intermediary enterprises (the “Listing Businesses”) in the People’s Republic of China (the “PRC”, references to “PRC” are to the People’s Republic of China, excluding, for the purposes of the financial statements only, Taiwan, Hong Kong and Macau).</w:t>
      </w:r>
    </w:p>
    <w:p>
      <w:pPr>
        <w:spacing w:after="0" w:line="173" w:lineRule="exact"/>
        <w:rPr>
          <w:rFonts w:ascii="Times New Roman" w:cs="Times New Roman" w:eastAsia="Times New Roman" w:hAnsi="Times New Roman"/>
          <w:sz w:val="18"/>
          <w:szCs w:val="18"/>
          <w:b w:val="1"/>
          <w:bCs w:val="1"/>
          <w:i w:val="1"/>
          <w:iCs w:val="1"/>
          <w:color w:val="auto"/>
        </w:rPr>
      </w:pPr>
    </w:p>
    <w:p>
      <w:pPr>
        <w:ind w:left="640" w:right="8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became the ultimate holding company of the subsidiaries and ultimate beneficial owner of the VIE comprising the Group upon the completion of the reorganization as described in Note 1 (b).</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preparation for the initial listing of the Company’s shares (the “Listing”), a group reorganization was undertaken pursuant to which the Listing Businesses were transferred to a new holding structure under the Company (the “Reorganization”).</w:t>
      </w:r>
    </w:p>
    <w:p>
      <w:pPr>
        <w:spacing w:after="0" w:line="268" w:lineRule="exact"/>
        <w:rPr>
          <w:rFonts w:ascii="Times New Roman" w:cs="Times New Roman" w:eastAsia="Times New Roman" w:hAnsi="Times New Roman"/>
          <w:sz w:val="18"/>
          <w:szCs w:val="18"/>
          <w:b w:val="1"/>
          <w:bCs w:val="1"/>
          <w:i w:val="1"/>
          <w:iCs w:val="1"/>
          <w:color w:val="auto"/>
        </w:rPr>
      </w:pPr>
    </w:p>
    <w:p>
      <w:pPr>
        <w:ind w:left="6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Step 1 Reorganization</w:t>
      </w:r>
    </w:p>
    <w:p>
      <w:pPr>
        <w:spacing w:after="0" w:line="114" w:lineRule="exact"/>
        <w:rPr>
          <w:rFonts w:ascii="Times New Roman" w:cs="Times New Roman" w:eastAsia="Times New Roman" w:hAnsi="Times New Roman"/>
          <w:sz w:val="18"/>
          <w:szCs w:val="18"/>
          <w:b w:val="1"/>
          <w:bCs w:val="1"/>
          <w:i w:val="1"/>
          <w:iCs w:val="1"/>
          <w:color w:val="auto"/>
        </w:rPr>
      </w:pPr>
    </w:p>
    <w:p>
      <w:pPr>
        <w:ind w:left="640" w:right="1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WN was incorporated on January 13, 2017 and undertook a series of financing activities by issuing preferred shares to institutional investors and granted share options to its employees. WN operated its business in the PRC through its subsidiaries and the consolidated VIEs (collectively, the “WN Group”). WN Group operated certain non-listing businesses (the “Old Business”) which was discontinued by the end of June 2019. Since July 2019, WN Group shifted its business strategy and started to operate the Listing Businesses.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320" w:top="452" w:right="5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Main subsidiaries and consolidated VIEs of WN included:</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direct or</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320" w:type="dxa"/>
            <w:vAlign w:val="bottom"/>
          </w:tcPr>
          <w:p>
            <w:pPr>
              <w:spacing w:after="0"/>
              <w:rPr>
                <w:sz w:val="12"/>
                <w:szCs w:val="12"/>
                <w:color w:val="auto"/>
              </w:rPr>
            </w:pPr>
          </w:p>
        </w:tc>
        <w:tc>
          <w:tcPr>
            <w:tcW w:w="8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320" w:type="dxa"/>
            <w:vAlign w:val="bottom"/>
          </w:tcPr>
          <w:p>
            <w:pPr>
              <w:spacing w:after="0"/>
              <w:rPr>
                <w:sz w:val="12"/>
                <w:szCs w:val="12"/>
                <w:color w:val="auto"/>
              </w:rPr>
            </w:pPr>
          </w:p>
        </w:tc>
        <w:tc>
          <w:tcPr>
            <w:tcW w:w="138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indirect</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3160" w:type="dxa"/>
            <w:vAlign w:val="bottom"/>
            <w:vMerge w:val="restart"/>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Wholly owned subsidiaries:</w:t>
            </w:r>
          </w:p>
        </w:tc>
        <w:tc>
          <w:tcPr>
            <w:tcW w:w="1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Beijing Erwan Technology Limited</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(“Beijing Erwan”, or the “WN</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WFOE”)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27, 2017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Feierlai (Beijing) Technology Limited</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(“Beijing Feierlai”, or the “VIE 1”, or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“VIE” after the Reorganization)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27, 2016</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Listing Businesses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Dianfengtongdao Technology</w:t>
            </w: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(“Beijing Dianfeng”, or the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“VIE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25, 2017</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0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Listing Businesses, Old Business</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940" w:hanging="315"/>
        <w:spacing w:after="0"/>
        <w:tabs>
          <w:tab w:leader="none" w:pos="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WN WFOE had 100% of beneficial interests in these consolidated VIEs.</w:t>
      </w:r>
    </w:p>
    <w:p>
      <w:pPr>
        <w:spacing w:after="0" w:line="218" w:lineRule="exact"/>
        <w:rPr>
          <w:sz w:val="20"/>
          <w:szCs w:val="20"/>
          <w:color w:val="auto"/>
        </w:rPr>
      </w:pPr>
    </w:p>
    <w:p>
      <w:pPr>
        <w:ind w:left="640" w:right="620"/>
        <w:spacing w:after="0" w:line="261" w:lineRule="auto"/>
        <w:rPr>
          <w:sz w:val="20"/>
          <w:szCs w:val="20"/>
          <w:color w:val="auto"/>
        </w:rPr>
      </w:pPr>
      <w:r>
        <w:rPr>
          <w:rFonts w:ascii="Times New Roman" w:cs="Times New Roman" w:eastAsia="Times New Roman" w:hAnsi="Times New Roman"/>
          <w:sz w:val="18"/>
          <w:szCs w:val="18"/>
          <w:color w:val="auto"/>
        </w:rPr>
        <w:t>EW was incorporated on April 15, 2021. EW, together with its subsidiaries and the consolidated VIE (collectively, the “EW Group”) are established to enable a reorganization, through which they assumed the Listing Businesses previously operated by WN Group (the “Step 1 Reorganization”).</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effect the Step 1 Reorganization, the following steps were undertaken:</w:t>
      </w:r>
    </w:p>
    <w:p>
      <w:pPr>
        <w:spacing w:after="0" w:line="125" w:lineRule="exact"/>
        <w:rPr>
          <w:sz w:val="20"/>
          <w:szCs w:val="20"/>
          <w:color w:val="auto"/>
        </w:rPr>
      </w:pPr>
    </w:p>
    <w:p>
      <w:pPr>
        <w:ind w:left="1160" w:right="480" w:hanging="535"/>
        <w:spacing w:after="0" w:line="275" w:lineRule="auto"/>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February to May 2021, EW, through its subsidiaries in the BVI and Hong Kong, created a subsidiary, Beijing Liangzizhige Technology Limited (“Beijing Liangzi”, or the “EW WFOE”, or the “WFOE”) in the PRC.</w:t>
      </w:r>
    </w:p>
    <w:p>
      <w:pPr>
        <w:spacing w:after="0" w:line="70" w:lineRule="exact"/>
        <w:rPr>
          <w:rFonts w:ascii="Times New Roman" w:cs="Times New Roman" w:eastAsia="Times New Roman" w:hAnsi="Times New Roman"/>
          <w:sz w:val="18"/>
          <w:szCs w:val="18"/>
          <w:color w:val="auto"/>
        </w:rPr>
      </w:pPr>
    </w:p>
    <w:p>
      <w:pPr>
        <w:ind w:left="1160" w:right="120" w:hanging="535"/>
        <w:spacing w:after="0" w:line="275" w:lineRule="auto"/>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2021, the EW WFOE, VIE 1, and legal shareholder of VIE 1, which is an entity controlled by Mr. Peng Li, the founder of the Group (the “Founder”), entered into a series of new contractual arrangements, which enables EW WFOE to consolidate VIE 1.</w:t>
      </w:r>
    </w:p>
    <w:p>
      <w:pPr>
        <w:spacing w:after="0" w:line="70" w:lineRule="exact"/>
        <w:rPr>
          <w:rFonts w:ascii="Times New Roman" w:cs="Times New Roman" w:eastAsia="Times New Roman" w:hAnsi="Times New Roman"/>
          <w:sz w:val="18"/>
          <w:szCs w:val="18"/>
          <w:color w:val="auto"/>
        </w:rPr>
      </w:pPr>
    </w:p>
    <w:p>
      <w:pPr>
        <w:ind w:left="1160" w:right="40" w:hanging="535"/>
        <w:spacing w:after="0" w:line="261" w:lineRule="auto"/>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key employees, contracts, operating assets and liabilities of the WN WFOE, VIE 2 and its subsidiaries related to Listing Businesses were transferred to EW WFOE and VIE 1. However, there continued to have small amount of Listing Businesses in WN Group after May 2021.</w:t>
      </w:r>
    </w:p>
    <w:p>
      <w:pPr>
        <w:spacing w:after="0" w:line="82" w:lineRule="exact"/>
        <w:rPr>
          <w:rFonts w:ascii="Times New Roman" w:cs="Times New Roman" w:eastAsia="Times New Roman" w:hAnsi="Times New Roman"/>
          <w:sz w:val="18"/>
          <w:szCs w:val="18"/>
          <w:color w:val="auto"/>
        </w:rPr>
      </w:pPr>
    </w:p>
    <w:p>
      <w:pPr>
        <w:ind w:left="1160" w:right="100" w:hanging="535"/>
        <w:spacing w:after="0" w:line="261" w:lineRule="auto"/>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 issued ordinary shares and preferred shares on May 31, 2021 to mirror the number and terms of ordinary shares and preferred shares originally issued by WN. EW also issued share options to mirror the number of the share options originally granted by WN (Refer to Note 14 for the modification of the vesting terms of the share options).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Step 1 Reorganization was completed on May 31, 2021.</w:t>
      </w:r>
    </w:p>
    <w:p>
      <w:pPr>
        <w:spacing w:after="0" w:line="112" w:lineRule="exact"/>
        <w:rPr>
          <w:sz w:val="20"/>
          <w:szCs w:val="20"/>
          <w:color w:val="auto"/>
        </w:rPr>
      </w:pPr>
    </w:p>
    <w:p>
      <w:pPr>
        <w:ind w:left="640" w:right="40"/>
        <w:spacing w:after="0" w:line="256" w:lineRule="auto"/>
        <w:rPr>
          <w:sz w:val="20"/>
          <w:szCs w:val="20"/>
          <w:color w:val="auto"/>
        </w:rPr>
      </w:pPr>
      <w:r>
        <w:rPr>
          <w:rFonts w:ascii="Times New Roman" w:cs="Times New Roman" w:eastAsia="Times New Roman" w:hAnsi="Times New Roman"/>
          <w:sz w:val="18"/>
          <w:szCs w:val="18"/>
          <w:color w:val="auto"/>
        </w:rPr>
        <w:t>After the Step 1 Reorganization, EW Group developed insurance brokerage business (the “Brokerage Business”) in addition to the Listing Businesses. Brokerage Business was conducted through Beijing ChangYou Star Network Technology Co., Ltd. (“Changyou Star”), a subsidiary of VIE 1 established for investment holding, and its subsidiary Beijing Baichuan Insurance Brokerage Co., Ltd. (collectively referred to as “Baichuan”).</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60"/>
          </w:cols>
          <w:pgMar w:left="320" w:top="452" w:right="5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Step 2 Reorganization</w:t>
      </w:r>
    </w:p>
    <w:p>
      <w:pPr>
        <w:spacing w:after="0" w:line="114" w:lineRule="exact"/>
        <w:rPr>
          <w:sz w:val="20"/>
          <w:szCs w:val="20"/>
          <w:color w:val="auto"/>
        </w:rPr>
      </w:pPr>
    </w:p>
    <w:p>
      <w:pPr>
        <w:ind w:left="640" w:right="400"/>
        <w:spacing w:after="0" w:line="305" w:lineRule="auto"/>
        <w:rPr>
          <w:sz w:val="20"/>
          <w:szCs w:val="20"/>
          <w:color w:val="auto"/>
        </w:rPr>
      </w:pPr>
      <w:r>
        <w:rPr>
          <w:rFonts w:ascii="Times New Roman" w:cs="Times New Roman" w:eastAsia="Times New Roman" w:hAnsi="Times New Roman"/>
          <w:sz w:val="17"/>
          <w:szCs w:val="17"/>
          <w:color w:val="auto"/>
        </w:rPr>
        <w:t>On February 9, 2022, the Company was incorporated in the Cayman Islands. The Company was established to enable another reorganization, through which it assumed the Listing Businesses previously operated by EW Group and WN Group (the “Step 2 Reorganization”).</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effect the Step 2 Reorganization, the following steps were undertaken:</w:t>
      </w:r>
    </w:p>
    <w:p>
      <w:pPr>
        <w:spacing w:after="0" w:line="125" w:lineRule="exact"/>
        <w:rPr>
          <w:sz w:val="20"/>
          <w:szCs w:val="20"/>
          <w:color w:val="auto"/>
        </w:rPr>
      </w:pPr>
    </w:p>
    <w:p>
      <w:pPr>
        <w:ind w:left="1160" w:right="500" w:hanging="535"/>
        <w:spacing w:after="0" w:line="275" w:lineRule="auto"/>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2022, the VIE 1 disposed of its interest in Baichuan to an entity controlled by the Founder, who in turn was holding the interest in this subsidiary on behalf of all shareholders of the Company.</w:t>
      </w:r>
    </w:p>
    <w:p>
      <w:pPr>
        <w:spacing w:after="0" w:line="70" w:lineRule="exact"/>
        <w:rPr>
          <w:rFonts w:ascii="Times New Roman" w:cs="Times New Roman" w:eastAsia="Times New Roman" w:hAnsi="Times New Roman"/>
          <w:sz w:val="18"/>
          <w:szCs w:val="18"/>
          <w:color w:val="auto"/>
        </w:rPr>
      </w:pPr>
    </w:p>
    <w:p>
      <w:pPr>
        <w:ind w:left="1160" w:right="260" w:hanging="535"/>
        <w:spacing w:after="0" w:line="261" w:lineRule="auto"/>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2022, EW transferred all equity interest in its BVI subsidiary, which holds EW WFOE and controlling financial interest in VIE 1 and its subsidiaries, to the Company. As a result, the Company in return became the ultimate holding company of the subsidiaries and the consolidated VIE conducing the Listing Businesses.</w:t>
      </w:r>
    </w:p>
    <w:p>
      <w:pPr>
        <w:spacing w:after="0" w:line="82" w:lineRule="exact"/>
        <w:rPr>
          <w:rFonts w:ascii="Times New Roman" w:cs="Times New Roman" w:eastAsia="Times New Roman" w:hAnsi="Times New Roman"/>
          <w:sz w:val="18"/>
          <w:szCs w:val="18"/>
          <w:color w:val="auto"/>
        </w:rPr>
      </w:pPr>
    </w:p>
    <w:p>
      <w:pPr>
        <w:ind w:left="1160" w:right="240" w:hanging="535"/>
        <w:spacing w:after="0" w:line="275" w:lineRule="auto"/>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Listing Businesses remained in WN Group (including those operated through WN WFOE, VIE 2 and its subsidiaries) was also transferred to the Company’s subsidiaries and the consolidated VIE (including its subsidiaries).</w:t>
      </w:r>
    </w:p>
    <w:p>
      <w:pPr>
        <w:spacing w:after="0" w:line="70" w:lineRule="exact"/>
        <w:rPr>
          <w:rFonts w:ascii="Times New Roman" w:cs="Times New Roman" w:eastAsia="Times New Roman" w:hAnsi="Times New Roman"/>
          <w:sz w:val="18"/>
          <w:szCs w:val="18"/>
          <w:color w:val="auto"/>
        </w:rPr>
      </w:pPr>
    </w:p>
    <w:p>
      <w:pPr>
        <w:ind w:left="1160" w:right="100" w:hanging="535"/>
        <w:spacing w:after="0" w:line="256" w:lineRule="auto"/>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certain ordinary shares and preferred shares of the Company were issued in connection with the Step 2 Reorganization to mirror the number and terms of ordinary shares and preferred shares originally issued by EW. The share options of the Company were also issued in connection with the Step 2 Reorganization to mirror the number and vesting terms of the share options originally granted by EW.</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Step 2 Reorganization was completed on May 31, 2022.</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completion of the Reorganization, the ownership structure of the subsidiaries and the consolidated VIE of the Group is as follows: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 direct</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2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9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or indirect economic</w:t>
            </w:r>
          </w:p>
        </w:tc>
        <w:tc>
          <w:tcPr>
            <w:tcW w:w="1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The Company:</w:t>
            </w: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QuantaSing Group Limited</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(“Company”/“QuantaSing”)</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February 9, 2022</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 Cayman Islands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Investment holding</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Wholly owned subsidiaries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(offshore):</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Hundreds of Mountains Limited</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22, 2021</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 BVI</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Investment holding</w:t>
            </w:r>
          </w:p>
        </w:tc>
        <w:tc>
          <w:tcPr>
            <w:tcW w:w="0" w:type="dxa"/>
            <w:vAlign w:val="bottom"/>
          </w:tcPr>
          <w:p>
            <w:pPr>
              <w:spacing w:after="0"/>
              <w:rPr>
                <w:sz w:val="1"/>
                <w:szCs w:val="1"/>
                <w:color w:val="auto"/>
              </w:rPr>
            </w:pPr>
          </w:p>
        </w:tc>
      </w:tr>
      <w:tr>
        <w:trPr>
          <w:trHeight w:val="21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Witty Digital Technology Limited</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29, 2021</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Hong Kong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Investment holding</w:t>
            </w:r>
          </w:p>
        </w:tc>
        <w:tc>
          <w:tcPr>
            <w:tcW w:w="0" w:type="dxa"/>
            <w:vAlign w:val="bottom"/>
          </w:tcPr>
          <w:p>
            <w:pPr>
              <w:spacing w:after="0"/>
              <w:rPr>
                <w:sz w:val="1"/>
                <w:szCs w:val="1"/>
                <w:color w:val="auto"/>
              </w:rPr>
            </w:pPr>
          </w:p>
        </w:tc>
      </w:tr>
      <w:tr>
        <w:trPr>
          <w:trHeight w:val="192"/>
        </w:trPr>
        <w:tc>
          <w:tcPr>
            <w:tcW w:w="258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Wholly owned subsidiaries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(onshore):</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Liangzizhige Technology</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(the “EW WFOE”, or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“WFOE” after the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19, 2021</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The PRC</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Investment holding</w:t>
            </w:r>
          </w:p>
        </w:tc>
        <w:tc>
          <w:tcPr>
            <w:tcW w:w="0" w:type="dxa"/>
            <w:vAlign w:val="bottom"/>
          </w:tcPr>
          <w:p>
            <w:pPr>
              <w:spacing w:after="0"/>
              <w:rPr>
                <w:sz w:val="1"/>
                <w:szCs w:val="1"/>
                <w:color w:val="auto"/>
              </w:rPr>
            </w:pPr>
          </w:p>
        </w:tc>
      </w:tr>
      <w:tr>
        <w:trPr>
          <w:trHeight w:val="360"/>
        </w:trPr>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F-12</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 of direct</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2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66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or indirect economic</w:t>
            </w:r>
          </w:p>
        </w:tc>
        <w:tc>
          <w:tcPr>
            <w:tcW w:w="18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VIE:</w:t>
            </w:r>
          </w:p>
        </w:tc>
        <w:tc>
          <w:tcPr>
            <w:tcW w:w="1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Feierlai (Beijing) Technology Co., Ltd.</w:t>
            </w: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 Feierlai”, or the “VIE 1”, or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“VIE” after the Reorganization)</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July 27, 2016</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6"/>
              </w:rPr>
              <w:t>The PRC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Listing Businesses</w:t>
            </w: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VIE’s subsidiaries: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Beijing Shijiwanhe Information</w:t>
            </w: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Limited</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August 28, 2019</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6"/>
              </w:rPr>
              <w:t>The PRC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Listing Businesses</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Denggaoerge Network</w:t>
            </w:r>
          </w:p>
        </w:tc>
        <w:tc>
          <w:tcPr>
            <w:tcW w:w="1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Limited</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December 24, 2020</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6"/>
              </w:rPr>
              <w:t>The PRC</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Listing Businesses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940" w:hanging="315"/>
        <w:spacing w:after="0"/>
        <w:tabs>
          <w:tab w:leader="none" w:pos="9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WFOE has 100% of beneficial interests in the consolidated VIE (including its subsidiaries).</w:t>
      </w: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 for the Reorganization</w:t>
      </w:r>
    </w:p>
    <w:p>
      <w:pPr>
        <w:spacing w:after="0" w:line="116"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18"/>
          <w:szCs w:val="18"/>
          <w:color w:val="auto"/>
        </w:rPr>
        <w:t>The Reorganization consists of transferring the Listing Businesses to the Group, which is owned by the same group of shareholders (collectively referred to as the “Parent Company”) of the Company and the Predecessors immediately before and after the Reorganization. Both Step 1 Reorganization and Step 2 Reorganization are considered as a non-substantive capital transaction of the Listing Businesses, as the shareholder ownership percentages immediately before and after these two steps of the Reorganizations were the same. Accordingly, the Reorganization is accounted for in a manner similar to a common control transaction because it is determined that the transfers lack economic substance. Therefore, the accompanying consolidated financial statements of the Group include the assets, liabilities, revenue, expenses, and cash flows that are directly attributable to the Listing Businesses for the periods presented and are prepared as if the corporate structure of the Company after the Reorganization had been in existence throughout the periods presented.</w:t>
      </w:r>
    </w:p>
    <w:p>
      <w:pPr>
        <w:spacing w:after="0" w:line="83" w:lineRule="exact"/>
        <w:rPr>
          <w:sz w:val="20"/>
          <w:szCs w:val="20"/>
          <w:color w:val="auto"/>
        </w:rPr>
      </w:pPr>
    </w:p>
    <w:p>
      <w:pPr>
        <w:ind w:left="640" w:right="40"/>
        <w:spacing w:after="0" w:line="251" w:lineRule="auto"/>
        <w:rPr>
          <w:sz w:val="20"/>
          <w:szCs w:val="20"/>
          <w:color w:val="auto"/>
        </w:rPr>
      </w:pPr>
      <w:r>
        <w:rPr>
          <w:rFonts w:ascii="Times New Roman" w:cs="Times New Roman" w:eastAsia="Times New Roman" w:hAnsi="Times New Roman"/>
          <w:sz w:val="18"/>
          <w:szCs w:val="18"/>
          <w:color w:val="auto"/>
        </w:rPr>
        <w:t>The assets and liabilities are generally stated at historical carrying amounts. Those assets and liabilities that are specifically related to the Listing Businesses are included in the Group’s consolidated balance sheets. Income tax payable is calculated on a separate return basis as if the Group had filed separate tax returns. The Group’s statement of operations and comprehensive loss consists of all the revenues, costs, and expenses of the Listing Businesses, including allocations to the cost of revenues, sales and marketing expenses, research and development expenses, and general and administrative expenses, which were incurred by the Predecessors but related to the Listing Businesses. These allocated costs and expenses are primarily related to office rental expenses, office utilities, information technology support and certain corporate functions, including senior management, finance, legal and human resources, as well as share-based compensation expenses.</w:t>
      </w:r>
    </w:p>
    <w:p>
      <w:pPr>
        <w:spacing w:after="0" w:line="80" w:lineRule="exact"/>
        <w:rPr>
          <w:sz w:val="20"/>
          <w:szCs w:val="20"/>
          <w:color w:val="auto"/>
        </w:rPr>
      </w:pPr>
    </w:p>
    <w:p>
      <w:pPr>
        <w:ind w:left="640" w:right="120"/>
        <w:spacing w:after="0" w:line="283" w:lineRule="auto"/>
        <w:rPr>
          <w:sz w:val="20"/>
          <w:szCs w:val="20"/>
          <w:color w:val="auto"/>
        </w:rPr>
      </w:pPr>
      <w:r>
        <w:rPr>
          <w:rFonts w:ascii="Times New Roman" w:cs="Times New Roman" w:eastAsia="Times New Roman" w:hAnsi="Times New Roman"/>
          <w:sz w:val="17"/>
          <w:szCs w:val="17"/>
          <w:color w:val="auto"/>
        </w:rPr>
        <w:t>Generally, the costs and expenses identified as relating to the Listing Businesses were allocated to the Group; the costs of shared employees were allocated to the Group based on the Group’s headcount as a proportion of total headcount in the Predecessors group; share based compensation expenses were allocated to the Group based on the compensation expenses attributable to employees of the Listing Businesses. These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60"/>
          </w:cols>
          <w:pgMar w:left="320" w:top="452" w:right="5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360"/>
        <w:spacing w:after="0" w:line="275" w:lineRule="auto"/>
        <w:rPr>
          <w:sz w:val="20"/>
          <w:szCs w:val="20"/>
          <w:color w:val="auto"/>
        </w:rPr>
      </w:pPr>
      <w:r>
        <w:rPr>
          <w:rFonts w:ascii="Times New Roman" w:cs="Times New Roman" w:eastAsia="Times New Roman" w:hAnsi="Times New Roman"/>
          <w:sz w:val="18"/>
          <w:szCs w:val="18"/>
          <w:color w:val="auto"/>
        </w:rPr>
        <w:t>allocations are made on a basis considered reasonable by management. Such presentation may not necessarily reflect the results of operations, financial position and cash flows of the Group had it existed on a stand-alone basis during the period presented.</w:t>
      </w:r>
    </w:p>
    <w:p>
      <w:pPr>
        <w:spacing w:after="0" w:line="58" w:lineRule="exact"/>
        <w:rPr>
          <w:sz w:val="20"/>
          <w:szCs w:val="20"/>
          <w:color w:val="auto"/>
        </w:rPr>
      </w:pPr>
    </w:p>
    <w:p>
      <w:pPr>
        <w:ind w:left="640" w:right="860"/>
        <w:spacing w:after="0" w:line="275" w:lineRule="auto"/>
        <w:rPr>
          <w:sz w:val="20"/>
          <w:szCs w:val="20"/>
          <w:color w:val="auto"/>
        </w:rPr>
      </w:pPr>
      <w:r>
        <w:rPr>
          <w:rFonts w:ascii="Times New Roman" w:cs="Times New Roman" w:eastAsia="Times New Roman" w:hAnsi="Times New Roman"/>
          <w:sz w:val="18"/>
          <w:szCs w:val="18"/>
          <w:color w:val="auto"/>
        </w:rPr>
        <w:t>The following tables set forth the cost of revenues, sales and marketing expenses, research and development expenses, and general and administrative expenses allocated from the Predecessors for the years ended June 30, 2021 and 2022:</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June 30, 2021:</w:t>
            </w:r>
          </w:p>
        </w:tc>
        <w:tc>
          <w:tcPr>
            <w:tcW w:w="24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 based</w:t>
            </w:r>
          </w:p>
        </w:tc>
        <w:tc>
          <w:tcPr>
            <w:tcW w:w="360" w:type="dxa"/>
            <w:vAlign w:val="bottom"/>
          </w:tcPr>
          <w:p>
            <w:pPr>
              <w:spacing w:after="0"/>
              <w:rPr>
                <w:sz w:val="13"/>
                <w:szCs w:val="13"/>
                <w:color w:val="auto"/>
              </w:rPr>
            </w:pPr>
          </w:p>
        </w:tc>
        <w:tc>
          <w:tcPr>
            <w:tcW w:w="6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360" w:type="dxa"/>
            <w:vAlign w:val="bottom"/>
          </w:tcPr>
          <w:p>
            <w:pPr>
              <w:spacing w:after="0"/>
              <w:rPr>
                <w:sz w:val="13"/>
                <w:szCs w:val="13"/>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5060" w:type="dxa"/>
            <w:vAlign w:val="bottom"/>
            <w:gridSpan w:val="3"/>
            <w:vMerge w:val="continue"/>
          </w:tcPr>
          <w:p>
            <w:pPr>
              <w:spacing w:after="0"/>
              <w:rPr>
                <w:sz w:val="14"/>
                <w:szCs w:val="14"/>
                <w:color w:val="auto"/>
              </w:rPr>
            </w:pPr>
          </w:p>
        </w:tc>
        <w:tc>
          <w:tcPr>
            <w:tcW w:w="3300" w:type="dxa"/>
            <w:vAlign w:val="bottom"/>
            <w:gridSpan w:val="2"/>
          </w:tcPr>
          <w:p>
            <w:pPr>
              <w:jc w:val="center"/>
              <w:ind w:left="2375"/>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2"/>
                <w:szCs w:val="12"/>
                <w:color w:val="auto"/>
              </w:rPr>
            </w:pPr>
          </w:p>
        </w:tc>
        <w:tc>
          <w:tcPr>
            <w:tcW w:w="640" w:type="dxa"/>
            <w:vAlign w:val="bottom"/>
            <w:tcBorders>
              <w:top w:val="single" w:sz="8" w:color="auto"/>
            </w:tcBorders>
          </w:tcPr>
          <w:p>
            <w:pPr>
              <w:jc w:val="right"/>
              <w:ind w:right="83"/>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640" w:type="dxa"/>
            <w:vAlign w:val="bottom"/>
            <w:tcBorders>
              <w:top w:val="single" w:sz="8" w:color="auto"/>
            </w:tcBorders>
          </w:tcPr>
          <w:p>
            <w:pPr>
              <w:jc w:val="right"/>
              <w:ind w:right="83"/>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513,844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220"/>
        <w:spacing w:after="0" w:line="261" w:lineRule="auto"/>
        <w:rPr>
          <w:sz w:val="20"/>
          <w:szCs w:val="20"/>
          <w:color w:val="auto"/>
        </w:rPr>
      </w:pPr>
      <w:r>
        <w:rPr>
          <w:rFonts w:ascii="Times New Roman" w:cs="Times New Roman" w:eastAsia="Times New Roman" w:hAnsi="Times New Roman"/>
          <w:sz w:val="18"/>
          <w:szCs w:val="18"/>
          <w:color w:val="auto"/>
        </w:rPr>
        <w:t>Out of the total costs and expenses of RMB615,674 allocated from the Predecessors for the year ended June 30, 2021, RMB101,830 is for share based compensation expenses which are recorded as a contribution from the Predecessors. The remaining allocated expenses of RMB513,844 were deemed to be a contribution from the Predecessors as they were agreed to be waived by Predecessors.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June 30, 2022:</w:t>
            </w:r>
          </w:p>
        </w:tc>
        <w:tc>
          <w:tcPr>
            <w:tcW w:w="24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360" w:type="dxa"/>
            <w:vAlign w:val="bottom"/>
          </w:tcPr>
          <w:p>
            <w:pPr>
              <w:spacing w:after="0"/>
              <w:rPr>
                <w:sz w:val="13"/>
                <w:szCs w:val="13"/>
                <w:color w:val="auto"/>
              </w:rPr>
            </w:pPr>
          </w:p>
        </w:tc>
        <w:tc>
          <w:tcPr>
            <w:tcW w:w="6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360" w:type="dxa"/>
            <w:vAlign w:val="bottom"/>
          </w:tcPr>
          <w:p>
            <w:pPr>
              <w:spacing w:after="0"/>
              <w:rPr>
                <w:sz w:val="13"/>
                <w:szCs w:val="13"/>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5060" w:type="dxa"/>
            <w:vAlign w:val="bottom"/>
            <w:gridSpan w:val="3"/>
            <w:vMerge w:val="continue"/>
          </w:tcPr>
          <w:p>
            <w:pPr>
              <w:spacing w:after="0"/>
              <w:rPr>
                <w:sz w:val="14"/>
                <w:szCs w:val="14"/>
                <w:color w:val="auto"/>
              </w:rPr>
            </w:pPr>
          </w:p>
        </w:tc>
        <w:tc>
          <w:tcPr>
            <w:tcW w:w="3320" w:type="dxa"/>
            <w:vAlign w:val="bottom"/>
            <w:gridSpan w:val="2"/>
          </w:tcPr>
          <w:p>
            <w:pPr>
              <w:jc w:val="center"/>
              <w:ind w:left="2395"/>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2"/>
                <w:szCs w:val="12"/>
                <w:color w:val="auto"/>
              </w:rPr>
            </w:pPr>
          </w:p>
        </w:tc>
        <w:tc>
          <w:tcPr>
            <w:tcW w:w="640" w:type="dxa"/>
            <w:vAlign w:val="bottom"/>
            <w:tcBorders>
              <w:top w:val="single" w:sz="8" w:color="auto"/>
            </w:tcBorders>
          </w:tcPr>
          <w:p>
            <w:pPr>
              <w:jc w:val="right"/>
              <w:ind w:right="83"/>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620" w:type="dxa"/>
            <w:vAlign w:val="bottom"/>
            <w:tcBorders>
              <w:top w:val="single" w:sz="8" w:color="auto"/>
            </w:tcBorders>
          </w:tcPr>
          <w:p>
            <w:pPr>
              <w:jc w:val="right"/>
              <w:ind w:right="83"/>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26,612</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100,988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640" w:right="160"/>
        <w:spacing w:after="0" w:line="261" w:lineRule="auto"/>
        <w:rPr>
          <w:sz w:val="20"/>
          <w:szCs w:val="20"/>
          <w:color w:val="auto"/>
        </w:rPr>
      </w:pPr>
      <w:r>
        <w:rPr>
          <w:rFonts w:ascii="Times New Roman" w:cs="Times New Roman" w:eastAsia="Times New Roman" w:hAnsi="Times New Roman"/>
          <w:sz w:val="18"/>
          <w:szCs w:val="18"/>
          <w:color w:val="auto"/>
        </w:rPr>
        <w:t>Out of the total costs and expenses of RMB110,640 allocated from the Predecessors for the year ended June 30, 2022, RMB100,988 is for share based compensation expenses which are recorded as a contribution from the Predecessors. The remaining allocated expenses of RMB9,652 were deemed to be a contribution from the Predecessors as they were agreed to be waived by Predecessors.</w:t>
      </w:r>
    </w:p>
    <w:p>
      <w:pPr>
        <w:spacing w:after="0" w:line="69"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color w:val="auto"/>
        </w:rPr>
        <w:t>As the Reorganization qualifies as a non-substantive transaction with high degree of common ownership, the carrying value of the equity of the Listing Businesses immediately before the Step 2 Reorganization was carried forward to the total equity of the Company immediately after the Reorganization. Considering that a material part of the Listing Businesses was a carve-out business of a larger entity, the Company has determined it was most appropriate not to retrospectively adjust the equity structure for periods before the Step 2 Reorganization completion date, and that the Company’s equity other than accumulated other comprehensive income/(loss) was presented as a single financial statement line item as “Parent Company’s investment” in the balance sheets, and the contribution from or distribution to Predecessors were presented as “Parent Company’s contribution” or “Distribution to Parent Company” in the statements of changes in invested deficit. The Company did not record any ordinary shares or preferred shares on its balance sheet before the Step 2 Reorganization completion.</w:t>
      </w:r>
    </w:p>
    <w:p>
      <w:pPr>
        <w:spacing w:after="0" w:line="83" w:lineRule="exact"/>
        <w:rPr>
          <w:sz w:val="20"/>
          <w:szCs w:val="20"/>
          <w:color w:val="auto"/>
        </w:rPr>
      </w:pPr>
    </w:p>
    <w:p>
      <w:pPr>
        <w:ind w:left="640" w:right="100"/>
        <w:spacing w:after="0" w:line="275" w:lineRule="auto"/>
        <w:rPr>
          <w:sz w:val="20"/>
          <w:szCs w:val="20"/>
          <w:color w:val="auto"/>
        </w:rPr>
      </w:pPr>
      <w:r>
        <w:rPr>
          <w:rFonts w:ascii="Times New Roman" w:cs="Times New Roman" w:eastAsia="Times New Roman" w:hAnsi="Times New Roman"/>
          <w:sz w:val="18"/>
          <w:szCs w:val="18"/>
          <w:color w:val="auto"/>
        </w:rPr>
        <w:t>Upon the date of completion of the Step 2 Reorganization, the following equity line items were initially recognized as follows: (i) ordinary shares based on par value of the shares; (ii) preferred shares based on the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2" w:right="5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line="256" w:lineRule="auto"/>
        <w:rPr>
          <w:sz w:val="20"/>
          <w:szCs w:val="20"/>
          <w:color w:val="auto"/>
        </w:rPr>
      </w:pPr>
      <w:r>
        <w:rPr>
          <w:rFonts w:ascii="Times New Roman" w:cs="Times New Roman" w:eastAsia="Times New Roman" w:hAnsi="Times New Roman"/>
          <w:sz w:val="18"/>
          <w:szCs w:val="18"/>
          <w:color w:val="auto"/>
        </w:rPr>
        <w:t>portion of the historical carrying value of the Predecessors’ preferred shares attributable to the Listing Businesses using a relative fair value method; (iii) the accumulated deficit was presented based on Listing Businesses’ historical earnings or losses; and (iv) with the amounts allocated to ordinary shares and preferred shares, the debit was recorded in the accumulated deficit. Refer to Note 15 and Note 16 for details of ordinary shares and preferred shares.</w:t>
      </w:r>
    </w:p>
    <w:p>
      <w:pPr>
        <w:spacing w:after="0" w:line="74"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In computing basic and diluted loss per share for all of the periods presented, the Reorganization was accounted for in a manner similar to a stock split or stock dividend. Thus, the number of the ordinary shares and preferred shares newly issued by the Company was retrospectively included since the beginning of the earliest period presented or the original issuance date of particular classes of shares by Predecessors, whichever is later, for the purpose of calculating the loss per ordinary share for the period before completion of the Reorganization. Accretion and deemed dividend incurred by Predecessors’ preferred shares were allocated to the Listing Businesses based on the relative fair value of the Listing Businesses and the Predecessors group. Refer to Note 17 for details.</w:t>
      </w:r>
    </w:p>
    <w:p>
      <w:pPr>
        <w:spacing w:after="0" w:line="79" w:lineRule="exact"/>
        <w:rPr>
          <w:sz w:val="20"/>
          <w:szCs w:val="20"/>
          <w:color w:val="auto"/>
        </w:rPr>
      </w:pPr>
    </w:p>
    <w:p>
      <w:pPr>
        <w:jc w:val="both"/>
        <w:ind w:left="640" w:right="120"/>
        <w:spacing w:after="0" w:line="261" w:lineRule="auto"/>
        <w:rPr>
          <w:sz w:val="20"/>
          <w:szCs w:val="20"/>
          <w:color w:val="auto"/>
        </w:rPr>
      </w:pPr>
      <w:r>
        <w:rPr>
          <w:rFonts w:ascii="Times New Roman" w:cs="Times New Roman" w:eastAsia="Times New Roman" w:hAnsi="Times New Roman"/>
          <w:sz w:val="18"/>
          <w:szCs w:val="18"/>
          <w:color w:val="auto"/>
        </w:rPr>
        <w:t>For purposes of presentation in the consolidated statements of cash flows, the cash flow from Predecessors to support the Listing Businesses is presented as contribution from Predecessors or Proceeds from loans from Predecessors depending on whether they were agreed to be waived by Predecessors, which is included in cash flows from financing activities.</w:t>
      </w:r>
    </w:p>
    <w:p>
      <w:pPr>
        <w:spacing w:after="0" w:line="318" w:lineRule="exact"/>
        <w:rPr>
          <w:sz w:val="20"/>
          <w:szCs w:val="20"/>
          <w:color w:val="auto"/>
        </w:rPr>
      </w:pPr>
    </w:p>
    <w:p>
      <w:pPr>
        <w:ind w:left="620" w:hanging="421"/>
        <w:spacing w:after="0"/>
        <w:tabs>
          <w:tab w:leader="none" w:pos="62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entity (including the portion of Listing Businesses in the VIE 2 before the Reorganization)</w:t>
      </w:r>
    </w:p>
    <w:p>
      <w:pPr>
        <w:spacing w:after="0" w:line="129" w:lineRule="exact"/>
        <w:rPr>
          <w:rFonts w:ascii="Times New Roman" w:cs="Times New Roman" w:eastAsia="Times New Roman" w:hAnsi="Times New Roman"/>
          <w:sz w:val="18"/>
          <w:szCs w:val="18"/>
          <w:b w:val="1"/>
          <w:bCs w:val="1"/>
          <w:i w:val="1"/>
          <w:iCs w:val="1"/>
          <w:color w:val="auto"/>
        </w:rPr>
      </w:pPr>
    </w:p>
    <w:p>
      <w:pPr>
        <w:ind w:left="1160" w:hanging="535"/>
        <w:spacing w:after="0"/>
        <w:tabs>
          <w:tab w:leader="none" w:pos="11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VIE contractual arrangements (the “VIE Contractual Agreements”)</w:t>
      </w:r>
    </w:p>
    <w:p>
      <w:pPr>
        <w:spacing w:after="0" w:line="112" w:lineRule="exact"/>
        <w:rPr>
          <w:rFonts w:ascii="Times New Roman" w:cs="Times New Roman" w:eastAsia="Times New Roman" w:hAnsi="Times New Roman"/>
          <w:sz w:val="18"/>
          <w:szCs w:val="18"/>
          <w:color w:val="auto"/>
        </w:rPr>
      </w:pPr>
    </w:p>
    <w:p>
      <w:pPr>
        <w:ind w:left="118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subsidiary Beijing Liangzizhige Technology Limited, or the WFOE, has entered into contractual arrangements with the VIE and its shareholder described below, which are referred to as the VIE Contractual Agreements. Through the VIE Contractual Agreements, the Company is able to consolidate the financial statements of the VIE and receives substantially all its economic benefits and residual returns. The VIE Contractual Agreements was effective on May 20, 2021. Prior to the VIE Contractual Agreements, the WN WFOE also entered into similar contractual arrangements with the VIE 1 and VIE 2, and their shareholders, the terms of which are substantially the same as the VIE Contractual Agreements. The contractual agreements among WN WFOE, VIE 1 and its shareholder were terminated immediately before the effectiveness of the VIE Contractual Agreements.</w:t>
      </w:r>
    </w:p>
    <w:p>
      <w:pPr>
        <w:spacing w:after="0" w:line="288"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Rights Proxy Agreement</w:t>
      </w:r>
    </w:p>
    <w:p>
      <w:pPr>
        <w:spacing w:after="0" w:line="116" w:lineRule="exact"/>
        <w:rPr>
          <w:rFonts w:ascii="Times New Roman" w:cs="Times New Roman" w:eastAsia="Times New Roman" w:hAnsi="Times New Roman"/>
          <w:sz w:val="18"/>
          <w:szCs w:val="18"/>
          <w:color w:val="auto"/>
        </w:rPr>
      </w:pPr>
    </w:p>
    <w:p>
      <w:pPr>
        <w:ind w:left="1180" w:right="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voting rights proxy agreement entered into by and among the WFOE, the VIE and its shareholder, the shareholder of the VIE irrevocably appointed and authorized the WFOE or its designee(s) to act on its behalf as exclusive agent and attorney, to the extent permitted by PRC law, with respect to all matters concerning all equity interests held by such shareholder in the VIE, including but not limited to the power to (1) attend shareholders’ meetings, (2) exercise all shareholder’s rights and shareholder’s voting rights that it is entitled under relevant PRC laws and regulations and the articles of association of the VIE, including but not limited to the right to sell, transfer, pledge or dispose of all the equity interests held in part or in whole, and (3) designate and appoint on its behalf the legal representative, directors, supervisors, chief executive officer and other senior management members of the VIE. The voting rights proxy agreement is irrevocable and continuously effective from the execution date until the entire equity interests in the VIE have been transferred to the WFOE or its designee pursuant to the exclusive option agreement or unless otherwise agreed to with written consent by all parties.</w:t>
      </w:r>
    </w:p>
    <w:p>
      <w:pPr>
        <w:spacing w:after="0" w:line="1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0960"/>
          </w:cols>
          <w:pgMar w:left="320" w:top="452" w:right="6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Exclusive consultancy and service agreement</w:t>
      </w:r>
    </w:p>
    <w:p>
      <w:pPr>
        <w:spacing w:after="0" w:line="116" w:lineRule="exact"/>
        <w:rPr>
          <w:sz w:val="20"/>
          <w:szCs w:val="20"/>
          <w:color w:val="auto"/>
        </w:rPr>
      </w:pPr>
    </w:p>
    <w:p>
      <w:pPr>
        <w:ind w:left="1180" w:right="20"/>
        <w:spacing w:after="0" w:line="249" w:lineRule="auto"/>
        <w:rPr>
          <w:sz w:val="20"/>
          <w:szCs w:val="20"/>
          <w:color w:val="auto"/>
        </w:rPr>
      </w:pPr>
      <w:r>
        <w:rPr>
          <w:rFonts w:ascii="Times New Roman" w:cs="Times New Roman" w:eastAsia="Times New Roman" w:hAnsi="Times New Roman"/>
          <w:sz w:val="18"/>
          <w:szCs w:val="18"/>
          <w:color w:val="auto"/>
        </w:rPr>
        <w:t>Pursuant to the exclusive consultancy and service agreement entered into by and between the WFOE and the VIE, the WFOE has the exclusive right, during the term of the exclusive consultancy and service agreement, to provide or designate its affiliates to provide complete business support and technical and consulting services to the VIE. In exchange, the VIE shall pay the WFOE in an amount equals to the VIE’s revenues minus any turnover tax, total costs incurred by the VIE, any provisions for statutory reserves and retained earnings, which should be paid on a quarterly basis. The retained earnings should be zero unless the WFOE agrees in writing for any other amount. The WFOE has the right to adjust the above service fee at its sole discretion without prior consent of the VIE. The WFOE shall have exclusive and proprietary rights and interests in all rights, ownership, interests and intellectual properties arising out of or created during the performance of the agreement. The exclusive consultancy and service agreements shall remain effective for ten years from the execution date and shall be extended for another ten years unless confirmed otherwise in writing by the WFOE within three months prior to the expiration date.</w:t>
      </w:r>
    </w:p>
    <w:p>
      <w:pPr>
        <w:spacing w:after="0" w:line="2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116" w:lineRule="exact"/>
        <w:rPr>
          <w:sz w:val="20"/>
          <w:szCs w:val="20"/>
          <w:color w:val="auto"/>
        </w:rPr>
      </w:pPr>
    </w:p>
    <w:p>
      <w:pPr>
        <w:ind w:left="1180"/>
        <w:spacing w:after="0" w:line="264" w:lineRule="auto"/>
        <w:rPr>
          <w:sz w:val="20"/>
          <w:szCs w:val="20"/>
          <w:color w:val="auto"/>
        </w:rPr>
      </w:pPr>
      <w:r>
        <w:rPr>
          <w:rFonts w:ascii="Times New Roman" w:cs="Times New Roman" w:eastAsia="Times New Roman" w:hAnsi="Times New Roman"/>
          <w:sz w:val="17"/>
          <w:szCs w:val="17"/>
          <w:color w:val="auto"/>
        </w:rPr>
        <w:t>Under the exclusive option agreement entered into by and between the WFOE, the VIE and its shareholder, the shareholder of the VIE irrevocably granted the WFOE an exclusive right to purchase, or designate any third-party to purchase, all of its equity interests in the VIE at any time in part or in whole at the sole and absolute discretion of the WFOE to the extent permitted by PRC law and at a purchase price equal to the lowest price permitted by the then-applicable PRC law and regulations at the time of exercise of the options. The shareholder of the VIE shall give all considerations it received within 10 days from the exercise of the options to the WFOE or its designee(s). Without the prior written consent of the WFOE, the VIE and/or its shareholder shall not, among others (1) transfer or otherwise dispose of any equity, assets or business of the VIE, or create any pledge or encumbrance on any equity, assets or business of the VIE, (2) increase or decrease the VIE’s registered capital or change its structure of registered capital, (3) sell, transfer, mortgage, or dispose of in any other manner outside of ordinary course of business any assets of the VIE or any legal or beneficial interests in the material business or revenues of the VIE, or allow any encumbrances thereon of any security interests, (4) enter into any major contracts or terminate any material contracts to which the VIE is a party, or enter into any other contract that may result in any conflicts with the VIE’s existing materials contacts, (5) carry out any transactions that may substantially affect the VIE’s assets, business operations, shareholding structure, or equity investment in third-party entities, (6) appointment or replacement of any director, supervisor, or any management who could be appointed or dismissed by shareholder of the VIE, (7) declare or distribute dividends, (8) dissolute or liquate or terminate the VIE, (9) amend the VIE’s articles of association, or (10) allow the VIE to incur any borrowings or loans. This agreement shall remain in effect until all equity interests in the VIE have been transferred to the WFOE and/or its designee(s) pursuant to this agreement.</w:t>
      </w:r>
    </w:p>
    <w:p>
      <w:pPr>
        <w:spacing w:after="0" w:line="2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116" w:lineRule="exact"/>
        <w:rPr>
          <w:sz w:val="20"/>
          <w:szCs w:val="20"/>
          <w:color w:val="auto"/>
        </w:rPr>
      </w:pPr>
    </w:p>
    <w:p>
      <w:pPr>
        <w:ind w:left="1180" w:right="120"/>
        <w:spacing w:after="0" w:line="253" w:lineRule="auto"/>
        <w:rPr>
          <w:sz w:val="20"/>
          <w:szCs w:val="20"/>
          <w:color w:val="auto"/>
        </w:rPr>
      </w:pPr>
      <w:r>
        <w:rPr>
          <w:rFonts w:ascii="Times New Roman" w:cs="Times New Roman" w:eastAsia="Times New Roman" w:hAnsi="Times New Roman"/>
          <w:sz w:val="18"/>
          <w:szCs w:val="18"/>
          <w:color w:val="auto"/>
        </w:rPr>
        <w:t>Under the equity pledge agreement entered into by and among the WFOE, the VIE and its shareholder, the shareholder of the VIE agrees to pledge all of its equity interests in the VIE to the WFOE as security for performance of the respective obligations of the VIE and its shareholder hereunder and under the exclusive option agreement, the voting rights proxy agreement and the exclusive consultancy and service agreement, and for payment of all the losses and losses of anticipated profits suffered by the WFOE as a result of the VIE or its shareholder’s defaults. If any of the VIE or its shareholder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20"/>
          </w:cols>
          <w:pgMar w:left="320" w:top="452" w:right="5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spacing w:after="0" w:line="250" w:lineRule="auto"/>
        <w:rPr>
          <w:sz w:val="20"/>
          <w:szCs w:val="20"/>
          <w:color w:val="auto"/>
        </w:rPr>
      </w:pPr>
      <w:r>
        <w:rPr>
          <w:rFonts w:ascii="Times New Roman" w:cs="Times New Roman" w:eastAsia="Times New Roman" w:hAnsi="Times New Roman"/>
          <w:sz w:val="18"/>
          <w:szCs w:val="18"/>
          <w:color w:val="auto"/>
        </w:rPr>
        <w:t>breach its contractual obligations, such WFOE, as the pledgees, may, upon issuing written notice, exercise certain remedy measures, including but not limited to being paid in priority with all pledged equity interests based on monetary evaluation or from the proceeds from auction or sale. The shareholder of the VIE agrees that, without the WFOE’s prior written consent, the shareholder of the VIE shall not transfer the pledged equity interests or place or permit the existence of any security interests or other encumbrances over the pledged equity interest. The WFOE may assign all or any of its rights and obligations under the share pledge agreement to its designee(s) at any time. The equity pledge agreement pledge will become effective on the date thereof and will remain in effect until the fulfillment of all the obligations hereunder and under the exclusive option agreement, the voting rights proxy agreement and the exclusive consultancy and service agreement and the full payment of all the losses and losses of anticipated profits suffered by the relevant WFOE as a result the VIE or its shareholder’s default.</w:t>
      </w:r>
    </w:p>
    <w:p>
      <w:pPr>
        <w:spacing w:after="0" w:line="333" w:lineRule="exact"/>
        <w:rPr>
          <w:sz w:val="20"/>
          <w:szCs w:val="20"/>
          <w:color w:val="auto"/>
        </w:rPr>
      </w:pPr>
    </w:p>
    <w:p>
      <w:pPr>
        <w:ind w:left="1160" w:hanging="535"/>
        <w:spacing w:after="0"/>
        <w:tabs>
          <w:tab w:leader="none" w:pos="1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 relation to the VIE structure</w:t>
      </w:r>
    </w:p>
    <w:p>
      <w:pPr>
        <w:spacing w:after="0" w:line="112" w:lineRule="exact"/>
        <w:rPr>
          <w:rFonts w:ascii="Times New Roman" w:cs="Times New Roman" w:eastAsia="Times New Roman" w:hAnsi="Times New Roman"/>
          <w:sz w:val="18"/>
          <w:szCs w:val="18"/>
          <w:color w:val="auto"/>
        </w:rPr>
      </w:pPr>
    </w:p>
    <w:p>
      <w:pPr>
        <w:ind w:left="118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business is conducted through the VIE (including its subsidiaries, and including the portion of Listing Businesses in the VIE 2 and its subsidiaries) of the Group, of which the Company (and its Predecessors before the Reorganization) is the ultimate primary beneficiary. The Company has concluded that (i) the ownership structure of the VIE is not in violation of any applicable PRC laws or regulations currently in effect and (ii) each of the VIE Contractual Agreements is valid, binding, and enforceable in accordance with their terms and applicable PRC laws or regulations currently in effect. However, uncertainties in the PRC legal system could cause the relevant regulatory authorities to find the current VIE Contractual Agreements and the legal structure to be in violation of any existing or future PRC laws or regulations.</w:t>
      </w:r>
    </w:p>
    <w:p>
      <w:pPr>
        <w:spacing w:after="0" w:line="80" w:lineRule="exact"/>
        <w:rPr>
          <w:rFonts w:ascii="Times New Roman" w:cs="Times New Roman" w:eastAsia="Times New Roman" w:hAnsi="Times New Roman"/>
          <w:sz w:val="18"/>
          <w:szCs w:val="18"/>
          <w:color w:val="auto"/>
        </w:rPr>
      </w:pPr>
    </w:p>
    <w:p>
      <w:pPr>
        <w:ind w:left="11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whether the Group’s corporate structure will be seen as violating the foreign investment rules as the Group is currently leveraging the contractual arrangements to operate certain business in which foreign investors are prohibited from or restricted to investing. If variable interest entities fall within the definition of foreign investment entities, the Group’s ability to use the contractual arrangements with the VIE and the Group’s ability to conduct business through the VIE could be severely limited.</w:t>
      </w:r>
    </w:p>
    <w:p>
      <w:pPr>
        <w:spacing w:after="0" w:line="80" w:lineRule="exact"/>
        <w:rPr>
          <w:rFonts w:ascii="Times New Roman" w:cs="Times New Roman" w:eastAsia="Times New Roman" w:hAnsi="Times New Roman"/>
          <w:sz w:val="18"/>
          <w:szCs w:val="18"/>
          <w:color w:val="auto"/>
        </w:rPr>
      </w:pPr>
    </w:p>
    <w:p>
      <w:pPr>
        <w:ind w:left="11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Group’s corporate structure and the contractual arrangements with the VIE through which the Group conducts its business in the PRC were found to be in violation of any existing or future PRC laws and regulations, the Group’s relevant PRC regulatory authorities could:</w:t>
      </w:r>
    </w:p>
    <w:p>
      <w:pPr>
        <w:spacing w:after="0" w:line="82"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licenses and/or operating licenses of the Group’s PRC entities;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w:t>
      </w:r>
    </w:p>
    <w:p>
      <w:pPr>
        <w:spacing w:after="0" w:line="125" w:lineRule="exact"/>
        <w:rPr>
          <w:rFonts w:ascii="Times New Roman" w:cs="Times New Roman" w:eastAsia="Times New Roman" w:hAnsi="Times New Roman"/>
          <w:sz w:val="18"/>
          <w:szCs w:val="18"/>
          <w:color w:val="auto"/>
        </w:rPr>
      </w:pPr>
    </w:p>
    <w:p>
      <w:pPr>
        <w:ind w:left="1600" w:right="100" w:hanging="324"/>
        <w:spacing w:after="0" w:line="275" w:lineRule="auto"/>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confiscate any income that they deem to be obtained through illegal operations, or impose other requirements with which the Group may not be able to comply;</w:t>
      </w:r>
    </w:p>
    <w:p>
      <w:pPr>
        <w:spacing w:after="0" w:line="70"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place restrictions or onerous conditions on the Group’s operations;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the right to collect revenues;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 down the Group’s servers or block the Group’s mobile app;</w:t>
      </w:r>
    </w:p>
    <w:p>
      <w:pPr>
        <w:spacing w:after="0" w:line="1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40"/>
          </w:cols>
          <w:pgMar w:left="320" w:top="452" w:right="5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jc w:val="both"/>
        <w:ind w:left="1600" w:right="40" w:hanging="324"/>
        <w:spacing w:after="0" w:line="261" w:lineRule="auto"/>
        <w:tabs>
          <w:tab w:leader="none" w:pos="16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ownership structure or operations, including terminating the contractual arrangements with the VIE and deregistering the equity pledges of the VIE, which in turn would affect the ability to consolidate, derive economic interests from the VIE and their subsidiaries;</w:t>
      </w:r>
    </w:p>
    <w:p>
      <w:pPr>
        <w:spacing w:after="0" w:line="82" w:lineRule="exact"/>
        <w:rPr>
          <w:rFonts w:ascii="Times New Roman" w:cs="Times New Roman" w:eastAsia="Times New Roman" w:hAnsi="Times New Roman"/>
          <w:sz w:val="18"/>
          <w:szCs w:val="18"/>
          <w:color w:val="auto"/>
        </w:rPr>
      </w:pPr>
    </w:p>
    <w:p>
      <w:pPr>
        <w:ind w:left="1600" w:right="500" w:hanging="324"/>
        <w:spacing w:after="0" w:line="275" w:lineRule="auto"/>
        <w:tabs>
          <w:tab w:leader="none" w:pos="16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use of the proceeds from financing activities to finance the business and operations of the VIE and their subsidiaries; or</w:t>
      </w:r>
    </w:p>
    <w:p>
      <w:pPr>
        <w:spacing w:after="0" w:line="70"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that could be harmful to the Group’s business.</w:t>
      </w:r>
    </w:p>
    <w:p>
      <w:pPr>
        <w:spacing w:after="0" w:line="112" w:lineRule="exact"/>
        <w:rPr>
          <w:sz w:val="20"/>
          <w:szCs w:val="20"/>
          <w:color w:val="auto"/>
        </w:rPr>
      </w:pPr>
    </w:p>
    <w:p>
      <w:pPr>
        <w:ind w:left="1180"/>
        <w:spacing w:after="0" w:line="264" w:lineRule="auto"/>
        <w:rPr>
          <w:sz w:val="20"/>
          <w:szCs w:val="20"/>
          <w:color w:val="auto"/>
        </w:rPr>
      </w:pPr>
      <w:r>
        <w:rPr>
          <w:rFonts w:ascii="Times New Roman" w:cs="Times New Roman" w:eastAsia="Times New Roman" w:hAnsi="Times New Roman"/>
          <w:sz w:val="17"/>
          <w:szCs w:val="17"/>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 or the right to receive its economic benefits, the Group would no longer be able to consolidate the VIE.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it may lead to changes in PRC laws, regulations, and policies or in the interpretation and application of existing laws, regulations, and policies, which may limit legal protections available to the Group to enforce the contractual arrangements should the VIE or the shareholder of the VIE fail to perform their obligations under those arrangements. In addition, shareholder of the VIE is a PRC holding entity beneficially owned by the Founder, chairman of the board of directors and chief executive officer of the Company. The enforceability, and therefore the benefits, of the contractual agreements between the Company and the VIE depend on shareholder enforcing the contracts. There is a risk that shareholder of VIE, who in some cases is also shareholder of the Company may have conflict of interests with the Company in the future or fails to perform their contractual obligations. Given the significance and importance of the VIE, there would be a significant negative impact to the Company if these contracts were not enforced.</w:t>
      </w:r>
    </w:p>
    <w:p>
      <w:pPr>
        <w:spacing w:after="0" w:line="72" w:lineRule="exact"/>
        <w:rPr>
          <w:sz w:val="20"/>
          <w:szCs w:val="20"/>
          <w:color w:val="auto"/>
        </w:rPr>
      </w:pPr>
    </w:p>
    <w:p>
      <w:pPr>
        <w:ind w:left="1180" w:right="40"/>
        <w:spacing w:after="0" w:line="252" w:lineRule="auto"/>
        <w:rPr>
          <w:sz w:val="20"/>
          <w:szCs w:val="20"/>
          <w:color w:val="auto"/>
        </w:rPr>
      </w:pPr>
      <w:r>
        <w:rPr>
          <w:rFonts w:ascii="Times New Roman" w:cs="Times New Roman" w:eastAsia="Times New Roman" w:hAnsi="Times New Roman"/>
          <w:sz w:val="18"/>
          <w:szCs w:val="18"/>
          <w:color w:val="auto"/>
        </w:rPr>
        <w:t>The Group’s operations depend on the VIE to honor their contractual agreements with the Group and the enforceability, and therefore the benefits, of the contractual agreements also depends on the authorization by the shareholder of the VIE to exercise voting rights on all matters requiring shareholder approval in the VIE. The Company believes that the agreements on authorization to exercise shareholder’s voting power are enforceable against each party thereto in accordance with their terms and applicable PRC laws or regulations currently in effect and the possibility that it will no longer be able to be the primary beneficiary and consolidate the VIE as a result of the aforementioned risks and uncertainties is remote.</w:t>
      </w:r>
    </w:p>
    <w:p>
      <w:pPr>
        <w:spacing w:after="0" w:line="79" w:lineRule="exact"/>
        <w:rPr>
          <w:sz w:val="20"/>
          <w:szCs w:val="20"/>
          <w:color w:val="auto"/>
        </w:rPr>
      </w:pPr>
    </w:p>
    <w:p>
      <w:pPr>
        <w:ind w:left="1180" w:right="40"/>
        <w:spacing w:after="0" w:line="251" w:lineRule="auto"/>
        <w:rPr>
          <w:sz w:val="20"/>
          <w:szCs w:val="20"/>
          <w:color w:val="auto"/>
        </w:rPr>
      </w:pPr>
      <w:r>
        <w:rPr>
          <w:rFonts w:ascii="Times New Roman" w:cs="Times New Roman" w:eastAsia="Times New Roman" w:hAnsi="Times New Roman"/>
          <w:sz w:val="18"/>
          <w:szCs w:val="18"/>
          <w:color w:val="auto"/>
        </w:rPr>
        <w:t>In accordance with VIE Contractual Agreements, the Company (1) could exercise all shareholder’s rights of the VIE and has power to direct the activities that most significantly affects the economic performance of the VIE, and (2) receive the economic benefits of the VIE that could be significant to the VIE. Accordingly, the Company is considered as the ultimate primary beneficiary of the VIE and has consolidated the VIE’s financial results of operations, assets, and liabilities in the Company’s consolidated financial statements. Therefore, the Company considers that there are no assets in the VIE that can be used only to settle obligations of the VIE, except for the paid-in capital of the VIE amounting to approximately nil and nil as of June 30, 2021 and 2022, as well as certain non-distributable statutory reserves amounting to approximately nil and nil as of June 30, 2021 and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40"/>
          </w:cols>
          <w:pgMar w:left="320" w:top="452" w:right="5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right="60"/>
        <w:spacing w:after="0" w:line="256" w:lineRule="auto"/>
        <w:rPr>
          <w:sz w:val="20"/>
          <w:szCs w:val="20"/>
          <w:color w:val="auto"/>
        </w:rPr>
      </w:pPr>
      <w:r>
        <w:rPr>
          <w:rFonts w:ascii="Times New Roman" w:cs="Times New Roman" w:eastAsia="Times New Roman" w:hAnsi="Times New Roman"/>
          <w:sz w:val="18"/>
          <w:szCs w:val="18"/>
          <w:color w:val="auto"/>
        </w:rPr>
        <w:t>2022. As the VIE are incorporated as limited liability companies under the PRC Company Law, creditors do not have recourse to the general credit of the Company for the liabilities of the VIE. There is currently no contractual arrangement that would require the Company to provide additional financial support to the VIE. As the Group is conducting certain business in the PRC through the VIE, the Group may provide additional financial support on a discretionary basis in the future, which could expose the Group to a loss.</w:t>
      </w:r>
    </w:p>
    <w:p>
      <w:pPr>
        <w:spacing w:after="0" w:line="74" w:lineRule="exact"/>
        <w:rPr>
          <w:sz w:val="20"/>
          <w:szCs w:val="20"/>
          <w:color w:val="auto"/>
        </w:rPr>
      </w:pPr>
    </w:p>
    <w:p>
      <w:pPr>
        <w:ind w:left="1180" w:right="360"/>
        <w:spacing w:after="0" w:line="283" w:lineRule="auto"/>
        <w:rPr>
          <w:sz w:val="20"/>
          <w:szCs w:val="20"/>
          <w:color w:val="auto"/>
        </w:rPr>
      </w:pPr>
      <w:r>
        <w:rPr>
          <w:rFonts w:ascii="Times New Roman" w:cs="Times New Roman" w:eastAsia="Times New Roman" w:hAnsi="Times New Roman"/>
          <w:sz w:val="17"/>
          <w:szCs w:val="17"/>
          <w:color w:val="auto"/>
        </w:rPr>
        <w:t>The VIE holds assets with no carrying value in the consolidated balance sheet that are important to the Company’s ability to produce revenue (referred to as unrecognized revenue-producing assets). Unrecognized revenue-producing assets held by the VIE include self-developed App named Qiniu (rebranded from KuaiCai), QianChi (rebranded from BanCai) and Jiangzhen, self-developed courses.</w:t>
      </w:r>
    </w:p>
    <w:p>
      <w:pPr>
        <w:spacing w:after="0" w:line="53" w:lineRule="exact"/>
        <w:rPr>
          <w:sz w:val="20"/>
          <w:szCs w:val="20"/>
          <w:color w:val="auto"/>
        </w:rPr>
      </w:pPr>
    </w:p>
    <w:p>
      <w:pPr>
        <w:ind w:left="1180" w:right="160"/>
        <w:spacing w:after="0" w:line="261" w:lineRule="auto"/>
        <w:rPr>
          <w:sz w:val="20"/>
          <w:szCs w:val="20"/>
          <w:color w:val="auto"/>
        </w:rPr>
      </w:pPr>
      <w:r>
        <w:rPr>
          <w:rFonts w:ascii="Times New Roman" w:cs="Times New Roman" w:eastAsia="Times New Roman" w:hAnsi="Times New Roman"/>
          <w:sz w:val="18"/>
          <w:szCs w:val="18"/>
          <w:color w:val="auto"/>
        </w:rPr>
        <w:t>The following consolidated financial information of the VIE after the elimination of inter-company transactions between the VIE and the subsidiaries of the VIE, and including the portion of Listing Businesses in the VIE 2 and its subsidiaries, was included in the accompanying consolidated financial statements of the Group as follows:</w:t>
      </w:r>
    </w:p>
    <w:p>
      <w:pPr>
        <w:spacing w:after="0" w:line="196"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Borders>
              <w:top w:val="single" w:sz="8" w:color="auto"/>
            </w:tcBorders>
          </w:tcPr>
          <w:p>
            <w:pPr>
              <w:jc w:val="right"/>
              <w:ind w:right="15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top w:val="single" w:sz="8" w:color="auto"/>
            </w:tcBorders>
            <w:gridSpan w:val="2"/>
          </w:tcPr>
          <w:p>
            <w:pPr>
              <w:jc w:val="right"/>
              <w:ind w:right="13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intra-Group companies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115,223</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263,652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52,761</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316,413</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Accounts payables</w:t>
            </w:r>
          </w:p>
        </w:tc>
        <w:tc>
          <w:tcPr>
            <w:tcW w:w="4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7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74,462</w:t>
            </w:r>
          </w:p>
        </w:tc>
        <w:tc>
          <w:tcPr>
            <w:tcW w:w="140" w:type="dxa"/>
            <w:vAlign w:val="bottom"/>
          </w:tcPr>
          <w:p>
            <w:pPr>
              <w:spacing w:after="0"/>
              <w:rPr>
                <w:sz w:val="17"/>
                <w:szCs w:val="17"/>
                <w:color w:val="auto"/>
              </w:rPr>
            </w:pPr>
          </w:p>
        </w:tc>
        <w:tc>
          <w:tcPr>
            <w:tcW w:w="7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45,178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267,729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 from customers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543,551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580,019</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960" w:type="dxa"/>
            <w:vAlign w:val="bottom"/>
            <w:gridSpan w:val="2"/>
          </w:tcPr>
          <w:p>
            <w:pPr>
              <w:jc w:val="right"/>
              <w:ind w:right="4217"/>
              <w:spacing w:after="0"/>
              <w:rPr>
                <w:sz w:val="20"/>
                <w:szCs w:val="20"/>
                <w:color w:val="auto"/>
              </w:rPr>
            </w:pPr>
            <w:r>
              <w:rPr>
                <w:rFonts w:ascii="Times New Roman" w:cs="Times New Roman" w:eastAsia="Times New Roman" w:hAnsi="Times New Roman"/>
                <w:sz w:val="18"/>
                <w:szCs w:val="18"/>
                <w:color w:val="auto"/>
              </w:rPr>
              <w:t>F-19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3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earned from third-party customers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1,759,793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earned from a related party</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1,759,793</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2,867,218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 and operating expenses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arising from non intra-Group transactions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(1,814,446)</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(2,576,144)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arising from the intra-Group technical consulting and related service under VIE Contractual Agreements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(185,036)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(230,281)</w:t>
            </w:r>
          </w:p>
        </w:tc>
        <w:tc>
          <w:tcPr>
            <w:tcW w:w="0" w:type="dxa"/>
            <w:vAlign w:val="bottom"/>
          </w:tcPr>
          <w:p>
            <w:pPr>
              <w:spacing w:after="0"/>
              <w:rPr>
                <w:sz w:val="1"/>
                <w:szCs w:val="1"/>
                <w:color w:val="auto"/>
              </w:rPr>
            </w:pPr>
          </w:p>
        </w:tc>
      </w:tr>
      <w:tr>
        <w:trPr>
          <w:trHeight w:val="22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 and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(1,999,482)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(2,806,425)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(225,042)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3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transactions with third-parties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Net cash used in transactions with intra-Group companies related to technical consulting and related service under VIE</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Contractual Agreements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(204,121)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(239,597)</w:t>
            </w:r>
          </w:p>
        </w:tc>
        <w:tc>
          <w:tcPr>
            <w:tcW w:w="0" w:type="dxa"/>
            <w:vAlign w:val="bottom"/>
          </w:tcPr>
          <w:p>
            <w:pPr>
              <w:spacing w:after="0"/>
              <w:rPr>
                <w:sz w:val="1"/>
                <w:szCs w:val="1"/>
                <w:color w:val="auto"/>
              </w:rPr>
            </w:pPr>
          </w:p>
        </w:tc>
      </w:tr>
      <w:tr>
        <w:trPr>
          <w:trHeight w:val="22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49,753</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transactions with third-parties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(53,384)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transactions with related parties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(1,253)</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transactions with intra-Group companies*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(54,637)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(193,708)</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85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transactions with Predecessors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VIE transferred RMB155,960 of its excess cash to the WFOE for cash management purpose.</w:t>
      </w:r>
    </w:p>
    <w:p>
      <w:pPr>
        <w:spacing w:after="0" w:line="363" w:lineRule="exact"/>
        <w:rPr>
          <w:sz w:val="20"/>
          <w:szCs w:val="20"/>
          <w:color w:val="auto"/>
        </w:rPr>
      </w:pPr>
    </w:p>
    <w:p>
      <w:pPr>
        <w:ind w:left="620" w:hanging="421"/>
        <w:spacing w:after="0"/>
        <w:tabs>
          <w:tab w:leader="none" w:pos="6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3" w:lineRule="exact"/>
        <w:rPr>
          <w:sz w:val="20"/>
          <w:szCs w:val="20"/>
          <w:color w:val="auto"/>
        </w:rPr>
      </w:pPr>
    </w:p>
    <w:p>
      <w:pPr>
        <w:ind w:left="620" w:hanging="421"/>
        <w:spacing w:after="0"/>
        <w:tabs>
          <w:tab w:leader="none" w:pos="620"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8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consolidated financial statements of the Group have been prepared in accordance with U.S. GAAP. Significant accounting policies followed by the Group in the preparation of the accompanying consolidated financial statements are summarized below.</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the consolidated VIE (including its subsidiaries).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60"/>
          </w:cols>
          <w:pgMar w:left="320" w:top="452" w:right="5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00"/>
        <w:spacing w:after="0" w:line="261"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69"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VIE is an entity in which the Company, or its subsidiary, through contractual arrangements, has the power to direct the activities that most impact the entities’ economic performance, bears the risks of, and enjoys the rewards normally associated with the controlling financial interest in the entity, and therefore the Company or its subsidiary is the primary beneficiary of the entities.</w:t>
      </w:r>
    </w:p>
    <w:p>
      <w:pPr>
        <w:spacing w:after="0" w:line="69" w:lineRule="exact"/>
        <w:rPr>
          <w:sz w:val="20"/>
          <w:szCs w:val="20"/>
          <w:color w:val="auto"/>
        </w:rPr>
      </w:pPr>
    </w:p>
    <w:p>
      <w:pPr>
        <w:ind w:left="640" w:right="120"/>
        <w:spacing w:after="0" w:line="275" w:lineRule="auto"/>
        <w:rPr>
          <w:sz w:val="20"/>
          <w:szCs w:val="20"/>
          <w:color w:val="auto"/>
        </w:rPr>
      </w:pPr>
      <w:r>
        <w:rPr>
          <w:rFonts w:ascii="Times New Roman" w:cs="Times New Roman" w:eastAsia="Times New Roman" w:hAnsi="Times New Roman"/>
          <w:sz w:val="18"/>
          <w:szCs w:val="18"/>
          <w:color w:val="auto"/>
        </w:rPr>
        <w:t>All significant intercompany transactions and balances between the Company, its wholly owned subsidiaries and the consolidated VIE have been eliminated upon combination.</w:t>
      </w:r>
    </w:p>
    <w:p>
      <w:pPr>
        <w:spacing w:after="0" w:line="306" w:lineRule="exact"/>
        <w:rPr>
          <w:sz w:val="20"/>
          <w:szCs w:val="20"/>
          <w:color w:val="auto"/>
        </w:rPr>
      </w:pPr>
    </w:p>
    <w:p>
      <w:pPr>
        <w:ind w:left="620" w:hanging="421"/>
        <w:spacing w:after="0"/>
        <w:tabs>
          <w:tab w:leader="none" w:pos="62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preparation of the consolidated financial statements in conformity with U.S. GAAP requires the Group to make estimates and assumptions that affect the reported amounts of assets and liabilities and related disclosure of contingent assets and liabilities at the balance sheet date, and the reported revenues and expense during the reporting period and disclosed in the consolidated financial statements and accompanying notes.</w:t>
      </w:r>
    </w:p>
    <w:p>
      <w:pPr>
        <w:spacing w:after="0" w:line="53" w:lineRule="exact"/>
        <w:rPr>
          <w:rFonts w:ascii="Times New Roman" w:cs="Times New Roman" w:eastAsia="Times New Roman" w:hAnsi="Times New Roman"/>
          <w:sz w:val="18"/>
          <w:szCs w:val="18"/>
          <w:b w:val="1"/>
          <w:bCs w:val="1"/>
          <w:i w:val="1"/>
          <w:iCs w:val="1"/>
          <w:color w:val="auto"/>
        </w:rPr>
      </w:pPr>
    </w:p>
    <w:p>
      <w:pPr>
        <w:ind w:left="640" w:right="80"/>
        <w:spacing w:after="0" w:line="27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Significant accounting estimates reflected in the Group’s consolidated financial statements include, but are not limited to revenue recognition based on the expected learning period of the customers, provision of credit losses of receivables, fair value of short-term investments, impairment of long-lived assets, the valuation allowance of deferred tax assets, as well as the valuation and recognition of share-based compensation arrangements. Actual results could differ from those estimates and such differences may be material to the consolidated financial statements.</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16" w:lineRule="exact"/>
        <w:rPr>
          <w:rFonts w:ascii="Times New Roman" w:cs="Times New Roman" w:eastAsia="Times New Roman" w:hAnsi="Times New Roman"/>
          <w:sz w:val="18"/>
          <w:szCs w:val="18"/>
          <w:b w:val="1"/>
          <w:bCs w:val="1"/>
          <w:i w:val="1"/>
          <w:iCs w:val="1"/>
          <w:color w:val="auto"/>
        </w:rPr>
      </w:pPr>
    </w:p>
    <w:p>
      <w:pPr>
        <w:jc w:val="both"/>
        <w:ind w:left="640" w:right="12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Group’s reporting currency is Renminbi (“RMB”). The functional currency of the Company and the Group’s subsidiaries incorporated in the Cayman Islands, BVI and Hong Kong is United States dollars (“US$”). The Group’s PRC subsidiaries determined their functional currency to be RMB. The determination of the respective functional currency is based on the criteria set out by ASC 830, Foreign Currency Matters.</w:t>
      </w:r>
    </w:p>
    <w:p>
      <w:pPr>
        <w:spacing w:after="0" w:line="53" w:lineRule="exact"/>
        <w:rPr>
          <w:rFonts w:ascii="Times New Roman" w:cs="Times New Roman" w:eastAsia="Times New Roman" w:hAnsi="Times New Roman"/>
          <w:sz w:val="18"/>
          <w:szCs w:val="18"/>
          <w:b w:val="1"/>
          <w:bCs w:val="1"/>
          <w:i w:val="1"/>
          <w:iCs w:val="1"/>
          <w:color w:val="auto"/>
        </w:rPr>
      </w:pPr>
    </w:p>
    <w:p>
      <w:pPr>
        <w:ind w:left="640" w:right="6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Transactions denominated in foreign currencies other than functional currency are translated into the functional currency at the exchange rates prevailing on the transaction dates. Assets and liabilities denominated in foreign currencies other than functional currency are remeasured into the functional currency at the exchange rates prevailing at the balance sheet date. Exchange gains or losses arising from foreign currency transactions are recorded in the consolidated statements of operations and comprehensive loss.</w:t>
      </w:r>
    </w:p>
    <w:p>
      <w:pPr>
        <w:spacing w:after="0" w:line="74" w:lineRule="exact"/>
        <w:rPr>
          <w:rFonts w:ascii="Times New Roman" w:cs="Times New Roman" w:eastAsia="Times New Roman" w:hAnsi="Times New Roman"/>
          <w:sz w:val="18"/>
          <w:szCs w:val="18"/>
          <w:b w:val="1"/>
          <w:bCs w:val="1"/>
          <w:i w:val="1"/>
          <w:iCs w:val="1"/>
          <w:color w:val="auto"/>
        </w:rPr>
      </w:pPr>
    </w:p>
    <w:p>
      <w:pPr>
        <w:ind w:left="640" w:right="1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financial statements of the Group’s non-PRC entities are translated from their respective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gains and losses are translated into RMB using the average exchange rates for the relevant period.</w:t>
      </w:r>
    </w:p>
    <w:p>
      <w:pPr>
        <w:spacing w:after="0" w:line="74" w:lineRule="exact"/>
        <w:rPr>
          <w:rFonts w:ascii="Times New Roman" w:cs="Times New Roman" w:eastAsia="Times New Roman" w:hAnsi="Times New Roman"/>
          <w:sz w:val="18"/>
          <w:szCs w:val="18"/>
          <w:b w:val="1"/>
          <w:bCs w:val="1"/>
          <w:i w:val="1"/>
          <w:iCs w:val="1"/>
          <w:color w:val="auto"/>
        </w:rPr>
      </w:pPr>
    </w:p>
    <w:p>
      <w:pPr>
        <w:ind w:left="6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resulting foreign currency translation adjustments are recorded as a component of accumulated other comprehensive income/loss in the consolidated statement of changes in invested equity and a component of other comprehensive loss in the consolidated statement of operations and comprehensive loss.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40"/>
          </w:cols>
          <w:pgMar w:left="320" w:top="452" w:right="5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620" w:hanging="421"/>
        <w:spacing w:after="0"/>
        <w:tabs>
          <w:tab w:leader="none" w:pos="6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Translations of the consolidated balance sheet, the consolidated statement of operations and comprehensive loss and the consolidated statement of cash flows from RMB into US$ as of and for the year ended June 30, 2022 are solely for the convenience of the readers and have been updated and calculated at the rate of US$1.00=RMB7.1135, representing the noon buying rate set forth in the H.10 statistical release of the U.S. Federal Reserve Board on September 30, 2022. No representation is made that the RMB amounts could have been, or could be, converted, realized, or settled into US$ at that rate on June 30, 2022, or at any other rate.</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and cash equivalents consist of cash on hand, time deposits, and funds held in deposit accounts with banks, which are highly liquid and have original maturities of three months or less and are unrestricted as to withdrawal or use.</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Accounts receivable is recorded at the invoiced amount and do not bear interest. Accounts receivable mainly represent marketing service fees receivable from insurance intermediaries and securities brokerage firms.</w:t>
      </w:r>
    </w:p>
    <w:p>
      <w:pPr>
        <w:spacing w:after="0" w:line="57" w:lineRule="exact"/>
        <w:rPr>
          <w:rFonts w:ascii="Times New Roman" w:cs="Times New Roman" w:eastAsia="Times New Roman" w:hAnsi="Times New Roman"/>
          <w:sz w:val="18"/>
          <w:szCs w:val="18"/>
          <w:b w:val="1"/>
          <w:bCs w:val="1"/>
          <w:i w:val="1"/>
          <w:iCs w:val="1"/>
          <w:color w:val="auto"/>
        </w:rPr>
      </w:pPr>
    </w:p>
    <w:p>
      <w:pPr>
        <w:jc w:val="both"/>
        <w:ind w:left="64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The guidance replaced the incurred loss impairment methodology with an expected credit loss model for which an entity recognizes an allowance based on the estimate of expected credit losses.</w:t>
      </w:r>
    </w:p>
    <w:p>
      <w:pPr>
        <w:spacing w:after="0" w:line="69" w:lineRule="exact"/>
        <w:rPr>
          <w:rFonts w:ascii="Times New Roman" w:cs="Times New Roman" w:eastAsia="Times New Roman" w:hAnsi="Times New Roman"/>
          <w:sz w:val="18"/>
          <w:szCs w:val="18"/>
          <w:b w:val="1"/>
          <w:bCs w:val="1"/>
          <w:i w:val="1"/>
          <w:iCs w:val="1"/>
          <w:color w:val="auto"/>
        </w:rPr>
      </w:pPr>
    </w:p>
    <w:p>
      <w:pPr>
        <w:ind w:left="640" w:right="4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adopted this guidance on July 1, 2019 using a modified retrospective approach, and the adoption did not have a material impact on the consolidated financial statements. The Group’s other receivables which were recorded as a component of the prepaid expenses and other current assets and other non-current assets are within the scope of ASC Topic 326. 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 The allowance for credit losses and corresponding receivables were written off when they are determined to be uncollectible.</w:t>
      </w:r>
    </w:p>
    <w:p>
      <w:pPr>
        <w:spacing w:after="0" w:line="329"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6" w:lineRule="exact"/>
        <w:rPr>
          <w:rFonts w:ascii="Times New Roman" w:cs="Times New Roman" w:eastAsia="Times New Roman" w:hAnsi="Times New Roman"/>
          <w:sz w:val="18"/>
          <w:szCs w:val="18"/>
          <w:b w:val="1"/>
          <w:bCs w:val="1"/>
          <w:i w:val="1"/>
          <w:iCs w:val="1"/>
          <w:color w:val="auto"/>
        </w:rPr>
      </w:pPr>
    </w:p>
    <w:p>
      <w:pPr>
        <w:ind w:left="6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20"/>
          </w:cols>
          <w:pgMar w:left="320" w:top="452" w:right="5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40"/>
        <w:spacing w:after="0" w:line="25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87" w:lineRule="exact"/>
        <w:rPr>
          <w:sz w:val="20"/>
          <w:szCs w:val="20"/>
          <w:color w:val="auto"/>
        </w:rPr>
      </w:pPr>
    </w:p>
    <w:p>
      <w:pPr>
        <w:ind w:left="1160" w:hanging="429"/>
        <w:spacing w:after="0"/>
        <w:tabs>
          <w:tab w:leader="none" w:pos="1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25" w:lineRule="exact"/>
        <w:rPr>
          <w:rFonts w:ascii="Times New Roman" w:cs="Times New Roman" w:eastAsia="Times New Roman" w:hAnsi="Times New Roman"/>
          <w:sz w:val="18"/>
          <w:szCs w:val="18"/>
          <w:color w:val="auto"/>
        </w:rPr>
      </w:pPr>
    </w:p>
    <w:p>
      <w:pPr>
        <w:ind w:left="1160" w:hanging="429"/>
        <w:spacing w:after="0" w:line="256" w:lineRule="auto"/>
        <w:tabs>
          <w:tab w:leader="none" w:pos="1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87" w:lineRule="exact"/>
        <w:rPr>
          <w:rFonts w:ascii="Times New Roman" w:cs="Times New Roman" w:eastAsia="Times New Roman" w:hAnsi="Times New Roman"/>
          <w:sz w:val="18"/>
          <w:szCs w:val="18"/>
          <w:color w:val="auto"/>
        </w:rPr>
      </w:pPr>
    </w:p>
    <w:p>
      <w:pPr>
        <w:ind w:left="1160" w:right="520" w:hanging="429"/>
        <w:spacing w:after="0" w:line="275" w:lineRule="auto"/>
        <w:tabs>
          <w:tab w:leader="none" w:pos="1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58" w:lineRule="exact"/>
        <w:rPr>
          <w:sz w:val="20"/>
          <w:szCs w:val="20"/>
          <w:color w:val="auto"/>
        </w:rPr>
      </w:pPr>
    </w:p>
    <w:p>
      <w:pPr>
        <w:ind w:left="640" w:right="140"/>
        <w:spacing w:after="0" w:line="275" w:lineRule="auto"/>
        <w:rPr>
          <w:sz w:val="20"/>
          <w:szCs w:val="20"/>
          <w:color w:val="auto"/>
        </w:rPr>
      </w:pPr>
      <w:r>
        <w:rPr>
          <w:rFonts w:ascii="Times New Roman" w:cs="Times New Roman" w:eastAsia="Times New Roman" w:hAnsi="Times New Roman"/>
          <w:sz w:val="18"/>
          <w:szCs w:val="18"/>
          <w:color w:val="auto"/>
        </w:rPr>
        <w:t>The carrying amount of cash and cash equivalents, restricted cash, other assets, amounts due from a related party, amounts due to a related party, accounts payables and accruals expenses and other current liabilities approximates fair value because of their short-term nature.</w:t>
      </w:r>
    </w:p>
    <w:p>
      <w:pPr>
        <w:spacing w:after="0" w:line="58" w:lineRule="exact"/>
        <w:rPr>
          <w:sz w:val="20"/>
          <w:szCs w:val="20"/>
          <w:color w:val="auto"/>
        </w:rPr>
      </w:pPr>
    </w:p>
    <w:p>
      <w:pPr>
        <w:ind w:left="640" w:right="80"/>
        <w:spacing w:after="0" w:line="253"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79" w:lineRule="exact"/>
        <w:rPr>
          <w:sz w:val="20"/>
          <w:szCs w:val="20"/>
          <w:color w:val="auto"/>
        </w:rPr>
      </w:pPr>
    </w:p>
    <w:p>
      <w:pPr>
        <w:ind w:left="640" w:right="120"/>
        <w:spacing w:after="0" w:line="261"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318" w:lineRule="exact"/>
        <w:rPr>
          <w:sz w:val="20"/>
          <w:szCs w:val="20"/>
          <w:color w:val="auto"/>
        </w:rPr>
      </w:pPr>
    </w:p>
    <w:p>
      <w:pPr>
        <w:ind w:left="620" w:hanging="421"/>
        <w:spacing w:after="0"/>
        <w:tabs>
          <w:tab w:leader="none" w:pos="62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Short-term investments include wealth management product with variable interest rates or principal non-guaranteed with certain financial institutions. In accordance with ASC 825, Financial Instruments, for financial products with variable interest rates referenced to performance of underlying assets, the Group elected the fair value method at the date of initial recognition and carries these investments at fair value. Changes in the fair value of these investments are reflected in the consolidated statements of operations and comprehensive loss as investment income and included in “others, net”. Fair value is estimated based on quoted prices of similar products provided by financial institutions at the end of each reporting period. The Group classifies these inputs as Level 2 fair value measurement.</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Prepayments and other current assets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6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Prepayments and other current assets mainly consist of prepayments for promotion fees and other service fees, prepaid input value-added tax, deposits, and receivables from third party payment platforms (see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20"/>
          </w:cols>
          <w:pgMar w:left="320" w:top="452" w:right="5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60"/>
        <w:spacing w:after="0" w:line="261" w:lineRule="auto"/>
        <w:rPr>
          <w:sz w:val="20"/>
          <w:szCs w:val="20"/>
          <w:color w:val="auto"/>
        </w:rPr>
      </w:pPr>
      <w:r>
        <w:rPr>
          <w:rFonts w:ascii="Times New Roman" w:cs="Times New Roman" w:eastAsia="Times New Roman" w:hAnsi="Times New Roman"/>
          <w:sz w:val="18"/>
          <w:szCs w:val="18"/>
          <w:color w:val="auto"/>
        </w:rPr>
        <w:t>Note 5). Prepayments and other current assets are stated at the historical carrying amount net of the allowance for credit losses. The Group reviews other assets on a periodic basis and makes allowances when there is doubt as to the collectability of individual balances. Other assets are written off when they are determined to be uncollectible.</w:t>
      </w:r>
    </w:p>
    <w:p>
      <w:pPr>
        <w:spacing w:after="0" w:line="318" w:lineRule="exact"/>
        <w:rPr>
          <w:sz w:val="20"/>
          <w:szCs w:val="20"/>
          <w:color w:val="auto"/>
        </w:rPr>
      </w:pPr>
    </w:p>
    <w:p>
      <w:pPr>
        <w:ind w:left="620" w:hanging="421"/>
        <w:spacing w:after="0"/>
        <w:tabs>
          <w:tab w:leader="none" w:pos="620"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6" w:lineRule="exact"/>
        <w:rPr>
          <w:rFonts w:ascii="Times New Roman" w:cs="Times New Roman" w:eastAsia="Times New Roman" w:hAnsi="Times New Roman"/>
          <w:sz w:val="18"/>
          <w:szCs w:val="18"/>
          <w:b w:val="1"/>
          <w:bCs w:val="1"/>
          <w:i w:val="1"/>
          <w:iCs w:val="1"/>
          <w:color w:val="auto"/>
        </w:rPr>
      </w:pPr>
    </w:p>
    <w:p>
      <w:pPr>
        <w:jc w:val="both"/>
        <w:ind w:left="64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recorded at cost, less accumulated depreciation and impairment. Depreciation of property and equipment is calculated on a straight-line basis, after consideration of expected useful lives and estimated residual values. The Group has not recorded any impairments of property and equipment for the period presented. The estimated useful lives of these assets are generally as follows:</w:t>
      </w:r>
    </w:p>
    <w:p>
      <w:pPr>
        <w:spacing w:after="0" w:line="76"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8"/>
        </w:trPr>
        <w:tc>
          <w:tcPr>
            <w:tcW w:w="20" w:type="dxa"/>
            <w:vAlign w:val="bottom"/>
          </w:tcPr>
          <w:p>
            <w:pPr>
              <w:spacing w:after="0"/>
              <w:rPr>
                <w:sz w:val="16"/>
                <w:szCs w:val="16"/>
                <w:color w:val="auto"/>
              </w:rPr>
            </w:pPr>
          </w:p>
        </w:tc>
        <w:tc>
          <w:tcPr>
            <w:tcW w:w="53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Leasehold improvement</w:t>
            </w:r>
          </w:p>
        </w:tc>
        <w:tc>
          <w:tcPr>
            <w:tcW w:w="100" w:type="dxa"/>
            <w:vAlign w:val="bottom"/>
          </w:tcPr>
          <w:p>
            <w:pPr>
              <w:spacing w:after="0"/>
              <w:rPr>
                <w:sz w:val="16"/>
                <w:szCs w:val="16"/>
                <w:color w:val="auto"/>
              </w:rPr>
            </w:pPr>
          </w:p>
        </w:tc>
        <w:tc>
          <w:tcPr>
            <w:tcW w:w="50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Shorter of the lease term or estimated economic life</w:t>
            </w:r>
          </w:p>
        </w:tc>
      </w:tr>
      <w:tr>
        <w:trPr>
          <w:trHeight w:val="23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87" w:lineRule="exact"/>
        <w:rPr>
          <w:sz w:val="20"/>
          <w:szCs w:val="20"/>
          <w:color w:val="auto"/>
        </w:rPr>
      </w:pPr>
    </w:p>
    <w:p>
      <w:pPr>
        <w:jc w:val="both"/>
        <w:ind w:left="640" w:right="180"/>
        <w:spacing w:after="0" w:line="261" w:lineRule="auto"/>
        <w:rPr>
          <w:sz w:val="20"/>
          <w:szCs w:val="20"/>
          <w:color w:val="auto"/>
        </w:rPr>
      </w:pPr>
      <w:r>
        <w:rPr>
          <w:rFonts w:ascii="Times New Roman" w:cs="Times New Roman" w:eastAsia="Times New Roman" w:hAnsi="Times New Roman"/>
          <w:sz w:val="18"/>
          <w:szCs w:val="18"/>
          <w:color w:val="auto"/>
        </w:rPr>
        <w:t>Repairs and maintenance costs are charged to expenses as incurred, whereas the costs of renewals and betterment that extend the useful lives of property, plant and equipment are capitalized as additions to the related assets. Gains and losses from the disposal of property and equipment are included in the consolidated statements of operations and comprehensive loss.</w:t>
      </w:r>
    </w:p>
    <w:p>
      <w:pPr>
        <w:spacing w:after="0" w:line="318" w:lineRule="exact"/>
        <w:rPr>
          <w:sz w:val="20"/>
          <w:szCs w:val="20"/>
          <w:color w:val="auto"/>
        </w:rPr>
      </w:pPr>
    </w:p>
    <w:p>
      <w:pPr>
        <w:ind w:left="620" w:hanging="421"/>
        <w:spacing w:after="0"/>
        <w:tabs>
          <w:tab w:leader="none" w:pos="62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Asset acquisition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the Company acquires other entities, if the assets acquired and liabilities assumed do not constitute a business, the transaction is accounted for as an asset acquisition. Assets are recognized based on the cost, which generally includes the transaction costs of the asset acquisition, and no gain or loss is recognized unless the fair value of noncash assets given as consideration differs from the assets’ carrying amounts on the Company’s financial statements. The cost of a group of assets acquired in an asset acquisition is allocated to the individual assets acquired or liabilities assumed based on their relative fair value and does not give rise to goodwill.</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16" w:lineRule="exact"/>
        <w:rPr>
          <w:sz w:val="20"/>
          <w:szCs w:val="20"/>
          <w:color w:val="auto"/>
        </w:rPr>
      </w:pPr>
    </w:p>
    <w:p>
      <w:pPr>
        <w:ind w:left="640" w:right="640"/>
        <w:spacing w:after="0" w:line="275"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and impairment, if any. Amortization of finite-lived intangible assets is computed using the straight-line method over the estimated useful lives, which is as follows:</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8"/>
        </w:trPr>
        <w:tc>
          <w:tcPr>
            <w:tcW w:w="20" w:type="dxa"/>
            <w:vAlign w:val="bottom"/>
          </w:tcPr>
          <w:p>
            <w:pPr>
              <w:spacing w:after="0"/>
              <w:rPr>
                <w:sz w:val="16"/>
                <w:szCs w:val="16"/>
                <w:color w:val="auto"/>
              </w:rPr>
            </w:pPr>
          </w:p>
        </w:tc>
        <w:tc>
          <w:tcPr>
            <w:tcW w:w="53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Insurance brokerage license</w:t>
            </w:r>
          </w:p>
        </w:tc>
        <w:tc>
          <w:tcPr>
            <w:tcW w:w="100" w:type="dxa"/>
            <w:vAlign w:val="bottom"/>
          </w:tcPr>
          <w:p>
            <w:pPr>
              <w:spacing w:after="0"/>
              <w:rPr>
                <w:sz w:val="16"/>
                <w:szCs w:val="16"/>
                <w:color w:val="auto"/>
              </w:rPr>
            </w:pPr>
          </w:p>
        </w:tc>
        <w:tc>
          <w:tcPr>
            <w:tcW w:w="50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52 months</w:t>
            </w:r>
          </w:p>
        </w:tc>
      </w:tr>
      <w:tr>
        <w:trPr>
          <w:trHeight w:val="23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 year to 2 years</w:t>
            </w:r>
          </w:p>
        </w:tc>
      </w:tr>
    </w:tbl>
    <w:p>
      <w:pPr>
        <w:spacing w:after="0" w:line="336" w:lineRule="exact"/>
        <w:rPr>
          <w:sz w:val="20"/>
          <w:szCs w:val="20"/>
          <w:color w:val="auto"/>
        </w:rPr>
      </w:pPr>
    </w:p>
    <w:p>
      <w:pPr>
        <w:ind w:left="620" w:hanging="421"/>
        <w:spacing w:after="0"/>
        <w:tabs>
          <w:tab w:leader="none" w:pos="62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affect the future use of the assets)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60"/>
          </w:cols>
          <w:pgMar w:left="320" w:top="452" w:right="5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0"/>
        <w:spacing w:after="0" w:line="305" w:lineRule="auto"/>
        <w:rPr>
          <w:sz w:val="20"/>
          <w:szCs w:val="20"/>
          <w:color w:val="auto"/>
        </w:rPr>
      </w:pPr>
      <w:r>
        <w:rPr>
          <w:rFonts w:ascii="Times New Roman" w:cs="Times New Roman" w:eastAsia="Times New Roman" w:hAnsi="Times New Roman"/>
          <w:sz w:val="17"/>
          <w:szCs w:val="17"/>
          <w:color w:val="auto"/>
        </w:rPr>
        <w:t>undiscounted cash flows is less than the carrying value of the assets, the Group recognizes an impairment loss based on the excess of the carrying value of the assets over the fair value of the assets. No impairment charge was recognized for the years ended June 30, 2021 and 2022.</w:t>
      </w:r>
    </w:p>
    <w:p>
      <w:pPr>
        <w:spacing w:after="0" w:line="284" w:lineRule="exact"/>
        <w:rPr>
          <w:sz w:val="20"/>
          <w:szCs w:val="20"/>
          <w:color w:val="auto"/>
        </w:rPr>
      </w:pPr>
    </w:p>
    <w:p>
      <w:pPr>
        <w:ind w:left="620" w:hanging="421"/>
        <w:spacing w:after="0"/>
        <w:tabs>
          <w:tab w:leader="none" w:pos="62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leases in accordance with ASC 842, Leases (“ASC 842”), which requires lessees to recognize leases on the balance sheet and disclose key information about leasing arrangements. The Group adopted ASC 842 on July 1, 2019, along with all subsequent ASU clarifications and improvements that are applicable to the Group, to each lease that existed in the periods presented in the financial statements, using the modified retrospective transition method and used the commencement date of the leases as the date of initial application. Consequently, financial information and the disclosures required under ASC 842 are provided for dates and periods presented in the consolidated financial statements.</w:t>
      </w:r>
    </w:p>
    <w:p>
      <w:pPr>
        <w:spacing w:after="0" w:line="78" w:lineRule="exact"/>
        <w:rPr>
          <w:rFonts w:ascii="Times New Roman" w:cs="Times New Roman" w:eastAsia="Times New Roman" w:hAnsi="Times New Roman"/>
          <w:sz w:val="18"/>
          <w:szCs w:val="18"/>
          <w:b w:val="1"/>
          <w:bCs w:val="1"/>
          <w:i w:val="1"/>
          <w:iCs w:val="1"/>
          <w:color w:val="auto"/>
        </w:rPr>
      </w:pPr>
    </w:p>
    <w:p>
      <w:pPr>
        <w:ind w:left="640" w:right="20"/>
        <w:spacing w:after="0" w:line="25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has operating leases primarily for office space. The determination of whether an arrangement is a lease or contains a lease is made at inception by evaluating whether the arrangement conveys the right to use an identified asset and whether the Group obtains substantially all the economic benefits from and has the ability to direct the use of the asset. The Group elects not to apply the recognition requirements of ASC 842 to short-term leases. Variable lease payments are the payments made by a lessee to a lessor for the right to use an underlying asset that vary because of changes in facts or circumstances occurring after the commencement date, other than the passage of time. Variable lease payments are recorded in the period in which the obligation for the payment is incurred. Other operating leases are included in operating lease right-of-use assets, operating lease liabilities, current portion, and operating lease liabilities, non-current portion on the consolidated balance sheets.</w:t>
      </w:r>
    </w:p>
    <w:p>
      <w:pPr>
        <w:spacing w:after="0" w:line="80" w:lineRule="exact"/>
        <w:rPr>
          <w:rFonts w:ascii="Times New Roman" w:cs="Times New Roman" w:eastAsia="Times New Roman" w:hAnsi="Times New Roman"/>
          <w:sz w:val="18"/>
          <w:szCs w:val="18"/>
          <w:b w:val="1"/>
          <w:bCs w:val="1"/>
          <w:i w:val="1"/>
          <w:iCs w:val="1"/>
          <w:color w:val="auto"/>
        </w:rPr>
      </w:pPr>
    </w:p>
    <w:p>
      <w:pPr>
        <w:ind w:left="6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uses the implicit rate when readily determinable, or its incremental borrowing rate based on the information available, at the commencement date in determining the present value of lease payments. Certain leases include renewal options and/or termination options. Renewal options are included in the lease term if the Group is reasonably certain to exercise those options while options to terminate the lease are only included in the lease term if the Group is reasonably certain not to exercise those options. Lease expenses are recorded on a straight-line basis over the lease term.</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0"/>
        <w:spacing w:after="0" w:line="26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loss.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loss.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40"/>
          </w:cols>
          <w:pgMar w:left="320" w:top="452" w:right="5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340"/>
        <w:spacing w:after="0" w:line="252"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liabilities assumed and noncontrolling interests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We determine discount rates to be used based on the risk inherent in the related activity’s current business model and industry comparisons. Terminal values are based on the expected life of assets, forecasted life cycle and forecasted cash flows over that period.</w:t>
      </w:r>
    </w:p>
    <w:p>
      <w:pPr>
        <w:spacing w:after="0" w:line="79"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loss.</w:t>
      </w:r>
    </w:p>
    <w:p>
      <w:pPr>
        <w:spacing w:after="0" w:line="69"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318" w:lineRule="exact"/>
        <w:rPr>
          <w:sz w:val="20"/>
          <w:szCs w:val="20"/>
          <w:color w:val="auto"/>
        </w:rPr>
      </w:pPr>
    </w:p>
    <w:p>
      <w:pPr>
        <w:ind w:left="620" w:hanging="421"/>
        <w:spacing w:after="0"/>
        <w:tabs>
          <w:tab w:leader="none" w:pos="62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is principally engaged in the operation of an online platform to provide individual online learning services to the individual learners and enterprise services to financial intermediary enterprises in the PRC.</w:t>
      </w:r>
    </w:p>
    <w:p>
      <w:pPr>
        <w:spacing w:after="0" w:line="57" w:lineRule="exact"/>
        <w:rPr>
          <w:rFonts w:ascii="Times New Roman" w:cs="Times New Roman" w:eastAsia="Times New Roman" w:hAnsi="Times New Roman"/>
          <w:sz w:val="18"/>
          <w:szCs w:val="18"/>
          <w:b w:val="1"/>
          <w:bCs w:val="1"/>
          <w:i w:val="1"/>
          <w:iCs w:val="1"/>
          <w:color w:val="auto"/>
        </w:rPr>
      </w:pPr>
    </w:p>
    <w:p>
      <w:pPr>
        <w:ind w:left="6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ASC 606, the Group determined revenue recognition through the following steps:</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Identification of the contract, or contracts, with a customer;</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Identification of the performance obligations in the contract;</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Allocation of the transaction price to the performance obligations in the contract;</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Recognition of revenue when (or as) the Group satisfies a performance obligation.</w:t>
      </w:r>
    </w:p>
    <w:p>
      <w:pPr>
        <w:spacing w:after="0" w:line="112" w:lineRule="exact"/>
        <w:rPr>
          <w:sz w:val="20"/>
          <w:szCs w:val="20"/>
          <w:color w:val="auto"/>
        </w:rPr>
      </w:pPr>
    </w:p>
    <w:p>
      <w:pPr>
        <w:ind w:left="640"/>
        <w:spacing w:after="0" w:line="253" w:lineRule="auto"/>
        <w:rPr>
          <w:sz w:val="20"/>
          <w:szCs w:val="20"/>
          <w:color w:val="auto"/>
        </w:rPr>
      </w:pPr>
      <w:r>
        <w:rPr>
          <w:rFonts w:ascii="Times New Roman" w:cs="Times New Roman" w:eastAsia="Times New Roman" w:hAnsi="Times New Roman"/>
          <w:sz w:val="18"/>
          <w:szCs w:val="18"/>
          <w:color w:val="auto"/>
        </w:rPr>
        <w:t>Revenue is measured at the fair value of the consideration received or receivable, and represents amounts receivable for services provided, stated net of discounts, sales incentives, refunds and value-added taxes (“VAT”) collected from customers and remitted to tax authorities. Revenue is recognized when or as the control of the services is transferred to the customer. If control of the services transfers over time, revenue is recognized over the period of the contract by measuring the progress towards complete satisfaction of that performance obligation. Otherwise, revenue is recognized at a point in time when the customer obtains control of the services.</w:t>
      </w:r>
    </w:p>
    <w:p>
      <w:pPr>
        <w:spacing w:after="0" w:line="79" w:lineRule="exact"/>
        <w:rPr>
          <w:sz w:val="20"/>
          <w:szCs w:val="20"/>
          <w:color w:val="auto"/>
        </w:rPr>
      </w:pPr>
    </w:p>
    <w:p>
      <w:pPr>
        <w:ind w:left="640" w:right="200"/>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transaction price to each performance obligation based on its relative standalone selling price. The Group generally determines the standalone selling prices based on the prices charged to customers. Assumptions and estimations have been made in estimating the relative selling price of each distinct performance obligation, and changes in judgments on these assumptions and estimates may impact the revenue recognition.</w:t>
      </w:r>
    </w:p>
    <w:p>
      <w:pPr>
        <w:spacing w:after="0" w:line="74" w:lineRule="exact"/>
        <w:rPr>
          <w:sz w:val="20"/>
          <w:szCs w:val="20"/>
          <w:color w:val="auto"/>
        </w:rPr>
      </w:pPr>
    </w:p>
    <w:p>
      <w:pPr>
        <w:ind w:left="640" w:right="300"/>
        <w:spacing w:after="0" w:line="261" w:lineRule="auto"/>
        <w:rPr>
          <w:sz w:val="20"/>
          <w:szCs w:val="20"/>
          <w:color w:val="auto"/>
        </w:rPr>
      </w:pPr>
      <w:r>
        <w:rPr>
          <w:rFonts w:ascii="Times New Roman" w:cs="Times New Roman" w:eastAsia="Times New Roman" w:hAnsi="Times New Roman"/>
          <w:sz w:val="18"/>
          <w:szCs w:val="18"/>
          <w:color w:val="auto"/>
        </w:rPr>
        <w:t>The Group earns its revenues primarily by providing: (i) self-operated online learning services of premium courses to learners through its own online platforms and cooperated online learning services; (ii) enterprise services, including marketing and referral services to insurance intermediaries and securities brokerage firms; and (iii) other services.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20"/>
          </w:cols>
          <w:pgMar w:left="320" w:top="452" w:right="5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1160" w:hanging="535"/>
        <w:spacing w:after="0"/>
        <w:tabs>
          <w:tab w:leader="none" w:pos="1160" w:val="left"/>
        </w:tabs>
        <w:numPr>
          <w:ilvl w:val="0"/>
          <w:numId w:val="1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Online learning services</w:t>
      </w:r>
    </w:p>
    <w:p>
      <w:pPr>
        <w:spacing w:after="0" w:line="114" w:lineRule="exact"/>
        <w:rPr>
          <w:rFonts w:ascii="Times New Roman" w:cs="Times New Roman" w:eastAsia="Times New Roman" w:hAnsi="Times New Roman"/>
          <w:sz w:val="18"/>
          <w:szCs w:val="18"/>
          <w:i w:val="1"/>
          <w:iCs w:val="1"/>
          <w:color w:val="auto"/>
        </w:rPr>
      </w:pPr>
    </w:p>
    <w:p>
      <w:pPr>
        <w:ind w:left="1180" w:right="580"/>
        <w:spacing w:after="0" w:line="27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online learning services provided by the Group principally include online financial literacy courses and other personal interest courses.</w:t>
      </w:r>
    </w:p>
    <w:p>
      <w:pPr>
        <w:spacing w:after="0" w:line="268" w:lineRule="exact"/>
        <w:rPr>
          <w:rFonts w:ascii="Times New Roman" w:cs="Times New Roman" w:eastAsia="Times New Roman" w:hAnsi="Times New Roman"/>
          <w:sz w:val="18"/>
          <w:szCs w:val="18"/>
          <w:i w:val="1"/>
          <w:iCs w:val="1"/>
          <w:color w:val="auto"/>
        </w:rPr>
      </w:pPr>
    </w:p>
    <w:p>
      <w:pPr>
        <w:ind w:left="11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Self-operated online learning services</w:t>
      </w:r>
    </w:p>
    <w:p>
      <w:pPr>
        <w:spacing w:after="0" w:line="114" w:lineRule="exact"/>
        <w:rPr>
          <w:rFonts w:ascii="Times New Roman" w:cs="Times New Roman" w:eastAsia="Times New Roman" w:hAnsi="Times New Roman"/>
          <w:sz w:val="18"/>
          <w:szCs w:val="18"/>
          <w:i w:val="1"/>
          <w:iCs w:val="1"/>
          <w:color w:val="auto"/>
        </w:rPr>
      </w:pPr>
    </w:p>
    <w:p>
      <w:pPr>
        <w:ind w:left="1180" w:right="160"/>
        <w:spacing w:after="0" w:line="28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The self-operated online learning services refer to online courses whereby the course contents are designed and developed by the Group. The Group is responsible for fulfilling all obligations of the online course delivery according to its sales contracts with the learners. Therefore, the Group determines that the individual learners are the Group’s customers and recognizes revenue on a gross basis.</w:t>
      </w:r>
    </w:p>
    <w:p>
      <w:pPr>
        <w:spacing w:after="0" w:line="53" w:lineRule="exact"/>
        <w:rPr>
          <w:rFonts w:ascii="Times New Roman" w:cs="Times New Roman" w:eastAsia="Times New Roman" w:hAnsi="Times New Roman"/>
          <w:sz w:val="18"/>
          <w:szCs w:val="18"/>
          <w:i w:val="1"/>
          <w:iCs w:val="1"/>
          <w:color w:val="auto"/>
        </w:rPr>
      </w:pPr>
    </w:p>
    <w:p>
      <w:pPr>
        <w:ind w:left="118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Group delivered the self-operated online courses through its own online platforms, including Qiniu (rebranded from KuaiCai), </w:t>
      </w:r>
      <w:r>
        <w:rPr>
          <w:rFonts w:ascii="Times New Roman" w:cs="Times New Roman" w:eastAsia="Times New Roman" w:hAnsi="Times New Roman"/>
          <w:sz w:val="18"/>
          <w:szCs w:val="18"/>
          <w:i w:val="1"/>
          <w:iCs w:val="1"/>
          <w:color w:val="auto"/>
        </w:rPr>
        <w:t xml:space="preserve">QianChi </w:t>
      </w:r>
      <w:r>
        <w:rPr>
          <w:rFonts w:ascii="Times New Roman" w:cs="Times New Roman" w:eastAsia="Times New Roman" w:hAnsi="Times New Roman"/>
          <w:sz w:val="18"/>
          <w:szCs w:val="18"/>
          <w:color w:val="auto"/>
        </w:rPr>
        <w:t>(rebranded from BanCai) and</w:t>
      </w:r>
      <w:r>
        <w:rPr>
          <w:rFonts w:ascii="Times New Roman" w:cs="Times New Roman" w:eastAsia="Times New Roman" w:hAnsi="Times New Roman"/>
          <w:sz w:val="18"/>
          <w:szCs w:val="18"/>
          <w:i w:val="1"/>
          <w:iCs w:val="1"/>
          <w:color w:val="auto"/>
        </w:rPr>
        <w:t xml:space="preserve"> JiangZhen</w:t>
      </w:r>
      <w:r>
        <w:rPr>
          <w:rFonts w:ascii="Times New Roman" w:cs="Times New Roman" w:eastAsia="Times New Roman" w:hAnsi="Times New Roman"/>
          <w:sz w:val="18"/>
          <w:szCs w:val="18"/>
          <w:color w:val="auto"/>
        </w:rPr>
        <w:t>, and there are two modes of delivery, namely (i) online community-based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camps or (ii) self-study e-learnings. With respect to an online community-based training camp, it typically includes organized online interactions between the Group’s tutors and the learners in a form of training camp communities, online access of pre-recorded lectures designated for the training camps and certain live broadcasting lectures. The Company considered that these elements in a training camp are not separately identifiable from each other, as the training camp represents the combined output for which the learners have contracted. With respect to a self-study e-learning, it is delivered in a form of pre-recorded lessons for the learners to self-study. The promise to provide access to all lessons of the self e-learnings is a series of distinct services as providing access each day is substantially the same. Therefore, each training camp and self-study e-learning is accounted for as a single performance obligation.</w:t>
      </w:r>
    </w:p>
    <w:p>
      <w:pPr>
        <w:spacing w:after="0" w:line="80" w:lineRule="exact"/>
        <w:rPr>
          <w:rFonts w:ascii="Times New Roman" w:cs="Times New Roman" w:eastAsia="Times New Roman" w:hAnsi="Times New Roman"/>
          <w:sz w:val="18"/>
          <w:szCs w:val="18"/>
          <w:i w:val="1"/>
          <w:iCs w:val="1"/>
          <w:color w:val="auto"/>
        </w:rPr>
      </w:pPr>
    </w:p>
    <w:p>
      <w:pPr>
        <w:ind w:left="1180" w:right="180"/>
        <w:spacing w:after="0" w:line="28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All contracts with the learners are billed in advance and upfront full payment of the fee by the learners is required prior to accessing any enrolled course contents. For sales of packages of training camps and self-study e-learnings of different online courses, the Company allocated the transaction price of the package to the different online courses therein based on their relative standalone selling price.</w:t>
      </w:r>
    </w:p>
    <w:p>
      <w:pPr>
        <w:spacing w:after="0" w:line="53" w:lineRule="exact"/>
        <w:rPr>
          <w:rFonts w:ascii="Times New Roman" w:cs="Times New Roman" w:eastAsia="Times New Roman" w:hAnsi="Times New Roman"/>
          <w:sz w:val="18"/>
          <w:szCs w:val="18"/>
          <w:i w:val="1"/>
          <w:iCs w:val="1"/>
          <w:color w:val="auto"/>
        </w:rPr>
      </w:pPr>
    </w:p>
    <w:p>
      <w:pPr>
        <w:ind w:left="1180" w:right="60"/>
        <w:spacing w:after="0" w:line="27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Revenues of a training camp and of a self-study e-learning are recognized over time as the learners simultaneously receives and consumes the benefits provided by the online courses as they retain access to the course contents.</w:t>
      </w:r>
    </w:p>
    <w:p>
      <w:pPr>
        <w:spacing w:after="0" w:line="57" w:lineRule="exact"/>
        <w:rPr>
          <w:rFonts w:ascii="Times New Roman" w:cs="Times New Roman" w:eastAsia="Times New Roman" w:hAnsi="Times New Roman"/>
          <w:sz w:val="18"/>
          <w:szCs w:val="18"/>
          <w:i w:val="1"/>
          <w:iCs w:val="1"/>
          <w:color w:val="auto"/>
        </w:rPr>
      </w:pPr>
    </w:p>
    <w:p>
      <w:pPr>
        <w:ind w:left="1180" w:right="2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Contractually, through accessing to the Group’s online platforms, the learners retain access to the training camps or self-study e-learnings they purchased for a specified course period (typically 14 calendar days for a training camp and 90 calendar days for a self-study e-learning) since the training camp commencement date or the purchase date of the e-learnings. However, during the periods presented the Group in practice discretionally allows the learners to retain access to the course content beyond the corresponding contractual expiry dates. Therefore, the Group recognizes online course revenue ratably over the longer of the corresponding contractual service period and the estimated average learning period (the “Average Learning Period”) of the learners, starting when the online courses can be accessed by the learners and the payments from the learners become non-refundable.</w:t>
      </w:r>
    </w:p>
    <w:p>
      <w:pPr>
        <w:spacing w:after="0" w:line="80" w:lineRule="exact"/>
        <w:rPr>
          <w:rFonts w:ascii="Times New Roman" w:cs="Times New Roman" w:eastAsia="Times New Roman" w:hAnsi="Times New Roman"/>
          <w:sz w:val="18"/>
          <w:szCs w:val="18"/>
          <w:i w:val="1"/>
          <w:iCs w:val="1"/>
          <w:color w:val="auto"/>
        </w:rPr>
      </w:pPr>
    </w:p>
    <w:p>
      <w:pPr>
        <w:ind w:left="1180" w:right="60"/>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Group considers a variety of relevant data when estimating the Average Learning Period of the learners for each individual online course, including the weighted-average number of days between the learners’ first and last access to the course contents, and the weighted average total hours spent by the paying user to learn the course. The Group believes that considering these factors enables it to determine the best estimation of the time period during which the learners access the online course content and therefore the service period over which the Group provides services to the learners. For the track record period, the Average Learning Period of the learners is estimated to be in the range of one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20"/>
          </w:cols>
          <w:pgMar w:left="320" w:top="452" w:right="5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jc w:val="both"/>
        <w:ind w:left="1180" w:right="400"/>
        <w:spacing w:after="0" w:line="261" w:lineRule="auto"/>
        <w:rPr>
          <w:sz w:val="20"/>
          <w:szCs w:val="20"/>
          <w:color w:val="auto"/>
        </w:rPr>
      </w:pPr>
      <w:r>
        <w:rPr>
          <w:rFonts w:ascii="Times New Roman" w:cs="Times New Roman" w:eastAsia="Times New Roman" w:hAnsi="Times New Roman"/>
          <w:sz w:val="18"/>
          <w:szCs w:val="18"/>
          <w:color w:val="auto"/>
        </w:rPr>
        <w:t>to three months. While the Group believes its estimates to be reasonable based on the currently available learners information, it may revise such estimates in the future according to the change in pattern of the learners’ learning behavior. Any adjustments arising from changes in the estimates of the Average Learning Periods is applied prospectively.</w:t>
      </w:r>
    </w:p>
    <w:p>
      <w:pPr>
        <w:spacing w:after="0" w:line="2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u w:val="single" w:color="auto"/>
          <w:color w:val="auto"/>
        </w:rPr>
        <w:t>Cooperated online learning services</w:t>
      </w:r>
    </w:p>
    <w:p>
      <w:pPr>
        <w:spacing w:after="0" w:line="114" w:lineRule="exact"/>
        <w:rPr>
          <w:sz w:val="20"/>
          <w:szCs w:val="20"/>
          <w:color w:val="auto"/>
        </w:rPr>
      </w:pPr>
    </w:p>
    <w:p>
      <w:pPr>
        <w:ind w:left="1180" w:right="40"/>
        <w:spacing w:after="0" w:line="251" w:lineRule="auto"/>
        <w:rPr>
          <w:sz w:val="20"/>
          <w:szCs w:val="20"/>
          <w:color w:val="auto"/>
        </w:rPr>
      </w:pPr>
      <w:r>
        <w:rPr>
          <w:rFonts w:ascii="Times New Roman" w:cs="Times New Roman" w:eastAsia="Times New Roman" w:hAnsi="Times New Roman"/>
          <w:sz w:val="18"/>
          <w:szCs w:val="18"/>
          <w:color w:val="auto"/>
        </w:rPr>
        <w:t>The Group generates revenue from cooperated online learning service by providing a platform through Jiangzhen, through which third party online learning service providers can offer their learning services to individual learners. The Group enters into contracts with the learners and also the third-party learning service providers. The Group is only responsible for referring the individual learners to the service provider, while the third-party learning service provider is responsible for developing the course content, delivering the online courses, providing customer support, and providing maintenance of servers allowing the users to access the contents. The Group determines that it is not the principal to the individual learners in this business and revenue is recognized on a net basis at the point in time when the referral service is completed.</w:t>
      </w:r>
    </w:p>
    <w:p>
      <w:pPr>
        <w:spacing w:after="0" w:line="331" w:lineRule="exact"/>
        <w:rPr>
          <w:sz w:val="20"/>
          <w:szCs w:val="20"/>
          <w:color w:val="auto"/>
        </w:rPr>
      </w:pPr>
    </w:p>
    <w:p>
      <w:pPr>
        <w:ind w:left="1160" w:hanging="535"/>
        <w:spacing w:after="0"/>
        <w:tabs>
          <w:tab w:leader="none" w:pos="1160"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Enterprise services</w:t>
      </w:r>
    </w:p>
    <w:p>
      <w:pPr>
        <w:spacing w:after="0" w:line="114" w:lineRule="exact"/>
        <w:rPr>
          <w:rFonts w:ascii="Times New Roman" w:cs="Times New Roman" w:eastAsia="Times New Roman" w:hAnsi="Times New Roman"/>
          <w:sz w:val="18"/>
          <w:szCs w:val="18"/>
          <w:i w:val="1"/>
          <w:iCs w:val="1"/>
          <w:color w:val="auto"/>
        </w:rPr>
      </w:pPr>
    </w:p>
    <w:p>
      <w:pPr>
        <w:ind w:left="1180" w:right="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 from enterprise services mainly includes marketing and referral fees earned from financial intermediary enterprises including insurance intermediaries and securities brokerage firms. The Group’s online education content enables third party financial intermediary enterprises to place their sponsored links and reach learners who have desire to purchase insurance products, to open new security trading accounts, or to purchase other products or services provided by the financial intermediary enterprises.</w:t>
      </w:r>
    </w:p>
    <w:p>
      <w:pPr>
        <w:spacing w:after="0" w:line="74" w:lineRule="exact"/>
        <w:rPr>
          <w:rFonts w:ascii="Times New Roman" w:cs="Times New Roman" w:eastAsia="Times New Roman" w:hAnsi="Times New Roman"/>
          <w:sz w:val="18"/>
          <w:szCs w:val="18"/>
          <w:i w:val="1"/>
          <w:iCs w:val="1"/>
          <w:color w:val="auto"/>
        </w:rPr>
      </w:pPr>
    </w:p>
    <w:p>
      <w:pPr>
        <w:ind w:left="11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Performance-based online marketing service contracts are signed between the Group and the financial intermediary enterprises to establish the service to be provided by the Group and relevant performance measures. The Group is responsible for referring the individual learners to the financial intermediary enterprises. No enterprise service contract is signed between the Group and the learners who click on the sponsored links.</w:t>
      </w:r>
    </w:p>
    <w:p>
      <w:pPr>
        <w:spacing w:after="0" w:line="74" w:lineRule="exact"/>
        <w:rPr>
          <w:rFonts w:ascii="Times New Roman" w:cs="Times New Roman" w:eastAsia="Times New Roman" w:hAnsi="Times New Roman"/>
          <w:sz w:val="18"/>
          <w:szCs w:val="18"/>
          <w:i w:val="1"/>
          <w:iCs w:val="1"/>
          <w:color w:val="auto"/>
        </w:rPr>
      </w:pPr>
    </w:p>
    <w:p>
      <w:pPr>
        <w:ind w:left="1180" w:right="4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Group considered the third party financial intermediary enterprises as its customers, and recognized performance-based online marketing and referral service revenue at the point in time when the service is completed. The determination of the revenue from enterprise services is based on (i) the number of eligible leads referred to the financial intermediary enterprises and (ii) a percentage-based commission or standard unit price for each qualified lead referred. The eligible leads referred to an insurance intermediary are typically leads which successfully purchased insurance products through the insurance intermediary. The eligible leads to a securities brokerage firm are typically leads which successfully opened a brokerage account with the brokerage firm and satisfied quality requirements, including maintaining a minimum balance of average daily asset held by the referred learners in their brokerage accounts. For the variable considerations, the Group only includes estimated amounts in the transaction price to the extent it is probable that a significant reversal of cumulative revenue recognized for such transactions will not occur.</w:t>
      </w:r>
    </w:p>
    <w:p>
      <w:pPr>
        <w:spacing w:after="0" w:line="331" w:lineRule="exact"/>
        <w:rPr>
          <w:rFonts w:ascii="Times New Roman" w:cs="Times New Roman" w:eastAsia="Times New Roman" w:hAnsi="Times New Roman"/>
          <w:sz w:val="18"/>
          <w:szCs w:val="18"/>
          <w:i w:val="1"/>
          <w:iCs w:val="1"/>
          <w:color w:val="auto"/>
        </w:rPr>
      </w:pPr>
    </w:p>
    <w:p>
      <w:pPr>
        <w:ind w:left="1160" w:hanging="535"/>
        <w:spacing w:after="0"/>
        <w:tabs>
          <w:tab w:leader="none" w:pos="1160"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services</w:t>
      </w:r>
    </w:p>
    <w:p>
      <w:pPr>
        <w:spacing w:after="0" w:line="114" w:lineRule="exact"/>
        <w:rPr>
          <w:rFonts w:ascii="Times New Roman" w:cs="Times New Roman" w:eastAsia="Times New Roman" w:hAnsi="Times New Roman"/>
          <w:sz w:val="18"/>
          <w:szCs w:val="18"/>
          <w:i w:val="1"/>
          <w:iCs w:val="1"/>
          <w:color w:val="auto"/>
        </w:rPr>
      </w:pPr>
    </w:p>
    <w:p>
      <w:pPr>
        <w:ind w:left="1180"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services mainly consist of brokerage income from insurance brokerage services. The Group provides insurance brokerage services distributing various health and life insurance products on behalf of insurance companies (its customers). As an agent of the insurance company, the Group sells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20"/>
          </w:cols>
          <w:pgMar w:left="320" w:top="452" w:right="5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right="20"/>
        <w:spacing w:after="0" w:line="252" w:lineRule="auto"/>
        <w:rPr>
          <w:sz w:val="20"/>
          <w:szCs w:val="20"/>
          <w:color w:val="auto"/>
        </w:rPr>
      </w:pPr>
      <w:r>
        <w:rPr>
          <w:rFonts w:ascii="Times New Roman" w:cs="Times New Roman" w:eastAsia="Times New Roman" w:hAnsi="Times New Roman"/>
          <w:sz w:val="18"/>
          <w:szCs w:val="18"/>
          <w:color w:val="auto"/>
        </w:rPr>
        <w:t>insurance policies on behalf of the insurance company and earns brokerage commissions determined as a percentage of premiums paid by the insured. The Group has identified its promise to sell insurance policies on behalf of an insurance company as the performance obligation in its contracts with the insurance companies. The Group’s performance obligation to the insurance company is satisfied and commission revenue is recognized at the point in time when an insurance policy becomes effective. For the variable considerations, the Group only includes estimated amounts in the transaction price to the extent it is probable that a significant reversal of cumulative revenue recognized for such transactions will not occur.</w:t>
      </w:r>
    </w:p>
    <w:p>
      <w:pPr>
        <w:spacing w:after="0" w:line="2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25" w:lineRule="exact"/>
        <w:rPr>
          <w:sz w:val="20"/>
          <w:szCs w:val="20"/>
          <w:color w:val="auto"/>
        </w:rPr>
      </w:pPr>
    </w:p>
    <w:p>
      <w:pPr>
        <w:ind w:left="1160" w:right="120" w:hanging="535"/>
        <w:spacing w:after="0" w:line="261" w:lineRule="auto"/>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82" w:lineRule="exact"/>
        <w:rPr>
          <w:rFonts w:ascii="Times New Roman" w:cs="Times New Roman" w:eastAsia="Times New Roman" w:hAnsi="Times New Roman"/>
          <w:sz w:val="18"/>
          <w:szCs w:val="18"/>
          <w:color w:val="auto"/>
        </w:rPr>
      </w:pPr>
    </w:p>
    <w:p>
      <w:pPr>
        <w:ind w:left="1160" w:right="120" w:hanging="535"/>
        <w:spacing w:after="0" w:line="275" w:lineRule="auto"/>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applied the portfolio approach in determining the learning period of the customers given that the effect of applying a portfolio approach to a group of learners’ behaviors would not differ materially from considering each one of them individually.</w:t>
      </w:r>
    </w:p>
    <w:p>
      <w:pPr>
        <w:spacing w:after="0" w:line="70"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expenses the costs to obtain a contract as incurred when the expected amortization period is one year or less.</w:t>
      </w:r>
    </w:p>
    <w:p>
      <w:pPr>
        <w:spacing w:after="0" w:line="320"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Contract balances</w:t>
      </w:r>
    </w:p>
    <w:p>
      <w:pPr>
        <w:spacing w:after="0" w:line="116" w:lineRule="exact"/>
        <w:rPr>
          <w:rFonts w:ascii="Times New Roman" w:cs="Times New Roman" w:eastAsia="Times New Roman" w:hAnsi="Times New Roman"/>
          <w:sz w:val="18"/>
          <w:szCs w:val="18"/>
          <w:color w:val="auto"/>
        </w:rPr>
      </w:pPr>
    </w:p>
    <w:p>
      <w:pPr>
        <w:ind w:left="118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278"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Contract liabilities</w:t>
      </w:r>
    </w:p>
    <w:p>
      <w:pPr>
        <w:spacing w:after="0" w:line="116" w:lineRule="exact"/>
        <w:rPr>
          <w:rFonts w:ascii="Times New Roman" w:cs="Times New Roman" w:eastAsia="Times New Roman" w:hAnsi="Times New Roman"/>
          <w:sz w:val="18"/>
          <w:szCs w:val="18"/>
          <w:color w:val="auto"/>
        </w:rPr>
      </w:pPr>
    </w:p>
    <w:p>
      <w:pPr>
        <w:ind w:left="118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liability is related to the payments received by the Group in advance from customers for which the Group’s revenue recognition criteria have not been met.</w:t>
      </w:r>
    </w:p>
    <w:p>
      <w:pPr>
        <w:spacing w:after="0" w:line="57" w:lineRule="exact"/>
        <w:rPr>
          <w:rFonts w:ascii="Times New Roman" w:cs="Times New Roman" w:eastAsia="Times New Roman" w:hAnsi="Times New Roman"/>
          <w:sz w:val="18"/>
          <w:szCs w:val="18"/>
          <w:color w:val="auto"/>
        </w:rPr>
      </w:pPr>
    </w:p>
    <w:p>
      <w:pPr>
        <w:ind w:left="11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online learning services, the service considerations are generally collected in advance and initially recorded as advance from customers during the contractual period where the Group allows the learners to ask for a full and unconditional refund. Subsequent to the expiry of the refund period, the balance of the advance from customers is reclassified as a contract liability.</w:t>
      </w:r>
    </w:p>
    <w:p>
      <w:pPr>
        <w:spacing w:after="0" w:line="69" w:lineRule="exact"/>
        <w:rPr>
          <w:rFonts w:ascii="Times New Roman" w:cs="Times New Roman" w:eastAsia="Times New Roman" w:hAnsi="Times New Roman"/>
          <w:sz w:val="18"/>
          <w:szCs w:val="18"/>
          <w:color w:val="auto"/>
        </w:rPr>
      </w:pPr>
    </w:p>
    <w:p>
      <w:pPr>
        <w:ind w:left="1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during the year ended June 30, 2021 and 2022 that was included in the contract liabilities balances at July 1, 2020 and 2021 amounted to approximately RMB40,514 and RMB267,729, respectively.</w:t>
      </w:r>
    </w:p>
    <w:p>
      <w:pPr>
        <w:spacing w:after="0" w:line="57" w:lineRule="exact"/>
        <w:rPr>
          <w:rFonts w:ascii="Times New Roman" w:cs="Times New Roman" w:eastAsia="Times New Roman" w:hAnsi="Times New Roman"/>
          <w:sz w:val="18"/>
          <w:szCs w:val="18"/>
          <w:color w:val="auto"/>
        </w:rPr>
      </w:pPr>
    </w:p>
    <w:p>
      <w:pPr>
        <w:ind w:left="118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aggregate amount of transaction price allocated to unsatisfied performance obligations is RMB393,598 which includes balances of contract liabilities which will be recognized as revenue in future periods. The Group expects to recognize RMB384,729 of this balance as revenue over the next 12 months.</w:t>
      </w:r>
    </w:p>
    <w:p>
      <w:pPr>
        <w:spacing w:after="0" w:line="69" w:lineRule="exact"/>
        <w:rPr>
          <w:rFonts w:ascii="Times New Roman" w:cs="Times New Roman" w:eastAsia="Times New Roman" w:hAnsi="Times New Roman"/>
          <w:sz w:val="18"/>
          <w:szCs w:val="18"/>
          <w:color w:val="auto"/>
        </w:rPr>
      </w:pPr>
    </w:p>
    <w:p>
      <w:pPr>
        <w:ind w:left="1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liabilities represent the consideration collected by the Group which it expects to refund to its customers according to refund policy. Refund liabilities are estimated based on the historical refund ratio for each of the revenue streams. In the event that the actual amount of refund made exceeds the estimation, such excessive amount will be deducted from net revenues.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20"/>
          </w:cols>
          <w:pgMar w:left="320" w:top="452" w:right="5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following table sets forth a breakdown of the Group’s revenues disaggregated by business line:</w:t>
      </w:r>
    </w:p>
    <w:p>
      <w:pPr>
        <w:spacing w:after="0" w:line="239"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2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900" w:type="dxa"/>
            <w:vAlign w:val="bottom"/>
            <w:tcBorders>
              <w:top w:val="single" w:sz="8" w:color="auto"/>
            </w:tcBorders>
          </w:tcPr>
          <w:p>
            <w:pPr>
              <w:jc w:val="right"/>
              <w:ind w:right="236"/>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Borders>
              <w:top w:val="single" w:sz="8" w:color="auto"/>
            </w:tcBorders>
            <w:gridSpan w:val="2"/>
          </w:tcPr>
          <w:p>
            <w:pPr>
              <w:jc w:val="right"/>
              <w:ind w:right="25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940" w:type="dxa"/>
            <w:vAlign w:val="bottom"/>
            <w:tcBorders>
              <w:top w:val="single" w:sz="8" w:color="auto"/>
            </w:tcBorders>
          </w:tcPr>
          <w:p>
            <w:pPr>
              <w:jc w:val="right"/>
              <w:ind w:right="23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learning services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 Financial literacy courses - self-operated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2,300,434</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personal interest courses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self-operated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163,483</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cooperated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80" w:type="dxa"/>
            <w:vAlign w:val="bottom"/>
            <w:shd w:val="clear" w:color="auto" w:fill="CCEEFF"/>
          </w:tcPr>
          <w:p>
            <w:pPr>
              <w:spacing w:after="0"/>
              <w:rPr>
                <w:sz w:val="18"/>
                <w:szCs w:val="18"/>
                <w:color w:val="auto"/>
              </w:rPr>
            </w:pPr>
          </w:p>
        </w:tc>
      </w:tr>
      <w:tr>
        <w:trPr>
          <w:trHeight w:val="22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1,563,607</w:t>
            </w:r>
          </w:p>
        </w:tc>
        <w:tc>
          <w:tcPr>
            <w:tcW w:w="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2,494,330</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185,511</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3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188,133</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1,759,940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2,867,974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20" w:hanging="421"/>
        <w:spacing w:after="0"/>
        <w:tabs>
          <w:tab w:leader="none" w:pos="62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Cost of revenues mainly consists of salaries and benefits (including share-based compensation expenses) of instructors and tutors who deliver premium courses, and the course content development staff who develop the premium courses, payment channel fees charged by third-party online payment providers, bandwidth costs, depreciation and amortization of properties and equipment, as well as costs of course materials. The instructors and course content development staff are all full-time employees, and their compensation primarily consists of base salary and bonus. The tutors consist of both full-time tutors and part-time tutors. Tutors’ compensation primarily consists of base salary and performance-based compensations.</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6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Sales and marketing expenses consist primarily of advertising and marketing promotion expenses, salaries and benefits (including share-based compensation expenses) of sales department staff who are also responsible for developing and delivering introductory courses, and other expenses incurred by the Group’s sales and marketing personnel. Advertising expenses are generally paid to the third parties for online promotion and traffic acquisition and are expensed as sales and marketing expenses when the services are received. For the years ended June 30, 2021 and 2022, advertising and marketing promotion expenses were RMB1,306,501 and RMB1,590,886, respectively.</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5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General and administrative expenses consist primarily of salaries and benefits (including share-based compensation expenses) and related expenses for employees involved in general corporate functions, including finance, legal and human resources, rental fees, and professional service fees.</w:t>
      </w:r>
    </w:p>
    <w:p>
      <w:pPr>
        <w:spacing w:after="0" w:line="31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expenses primarily consist of (i) salaries and benefits for research and development personnel, and (ii) office rental, general expenses and depreciation expenses associated with the research and development activities. The Group’s research and development activities primarily consist of the development and enhancement of the Group’s applications and platforms.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2" w:right="5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jc w:val="both"/>
        <w:ind w:left="640" w:right="440"/>
        <w:spacing w:after="0" w:line="283" w:lineRule="auto"/>
        <w:rPr>
          <w:sz w:val="20"/>
          <w:szCs w:val="20"/>
          <w:color w:val="auto"/>
        </w:rPr>
      </w:pPr>
      <w:r>
        <w:rPr>
          <w:rFonts w:ascii="Times New Roman" w:cs="Times New Roman" w:eastAsia="Times New Roman" w:hAnsi="Times New Roman"/>
          <w:sz w:val="17"/>
          <w:szCs w:val="17"/>
          <w:color w:val="auto"/>
        </w:rPr>
        <w:t>For internal use software, the Group expenses all costs incurred for the preliminary project stage and post implementation-operation stage of development. The amount of the Group’s research and development expenses that qualify to be capitalized during the periods presented was immaterial, and as a result all development costs incurred for development of internal used software have been expensed as incurred.</w:t>
      </w:r>
    </w:p>
    <w:p>
      <w:pPr>
        <w:spacing w:after="0" w:line="302" w:lineRule="exact"/>
        <w:rPr>
          <w:sz w:val="20"/>
          <w:szCs w:val="20"/>
          <w:color w:val="auto"/>
        </w:rPr>
      </w:pPr>
    </w:p>
    <w:p>
      <w:pPr>
        <w:ind w:left="620" w:hanging="421"/>
        <w:spacing w:after="0"/>
        <w:tabs>
          <w:tab w:leader="none" w:pos="6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share-based awards granted to the founder, management, and employees, including restricted ordinary shares and share options, are measured at fair value on grant date. Share based compensation expense is recognized using the graded-vesting method over the requisite service period, which is the vesting period. The Company accounts for share-based compensation benefits granted to grantee in accordance with ASC 718 Stock Compensation. Information relating to the plans is set out in Note 14.</w:t>
      </w:r>
    </w:p>
    <w:p>
      <w:pPr>
        <w:spacing w:after="0" w:line="74" w:lineRule="exact"/>
        <w:rPr>
          <w:rFonts w:ascii="Times New Roman" w:cs="Times New Roman" w:eastAsia="Times New Roman" w:hAnsi="Times New Roman"/>
          <w:sz w:val="18"/>
          <w:szCs w:val="18"/>
          <w:b w:val="1"/>
          <w:bCs w:val="1"/>
          <w:i w:val="1"/>
          <w:iCs w:val="1"/>
          <w:color w:val="auto"/>
        </w:rPr>
      </w:pPr>
    </w:p>
    <w:p>
      <w:pPr>
        <w:ind w:left="640"/>
        <w:spacing w:after="0" w:line="25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Prior to the Reorganization, all the options and restricted ordinary shares were granted by Predecessors with their own underlying shares. The Predecessors have used the discounted cash flow method to determine the underlying equity fair value of the Predecessors and adopted an equity allocation model to determine the fair value of the underlying ordinary share. The determination of estimated fair value of share-based payment awards on the grant date using binomial option pricing model is affected by the fair value of Predecessors’ ordinary shares as well as assumptions regarding a number of complex and subjective variables. These variables include the expected value volatility of Predecessors’ shares over the expected term of the awards, actual and projected employee share option exercise behaviors, a risk-free interest rate and any expected dividends, if any.</w:t>
      </w:r>
    </w:p>
    <w:p>
      <w:pPr>
        <w:spacing w:after="0" w:line="80" w:lineRule="exact"/>
        <w:rPr>
          <w:rFonts w:ascii="Times New Roman" w:cs="Times New Roman" w:eastAsia="Times New Roman" w:hAnsi="Times New Roman"/>
          <w:sz w:val="18"/>
          <w:szCs w:val="18"/>
          <w:b w:val="1"/>
          <w:bCs w:val="1"/>
          <w:i w:val="1"/>
          <w:iCs w:val="1"/>
          <w:color w:val="auto"/>
        </w:rPr>
      </w:pPr>
    </w:p>
    <w:p>
      <w:pPr>
        <w:ind w:left="64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Some awards are granted with service only conditions and some awards granted with both performance conditions and service conditions. For awards granted with performance conditions and service conditions, the Company evaluates the likelihood of performance conditions being met at each reporting period. Share-based compensation costs are recorded when the performance conditions are considered probable for the number of awards expected to vest on a graded-vesting basis, net of estimated forfeitures, over the requisite service period. The compensation cost of the awards granted with performance conditions and service conditions is measured based on the fair value of the awards when all conditions to establish the grant date have been met.</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Full-time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the consolidated VIE of the Group make contributions to the government for these benefits based on certain percentages of the employees’ salaries, up to a maximum amount specified by the local government. The Group has no legal obligation for the benefits beyond the contributions made. Employee social security and welfare benefits included as expenses in the consolidated statements of operations and comprehensive loss amounted to RMB39,449 and RMB111,698 for the years ended June 30, 2021 and 2022, respectively. The total balances of employee welfare benefits, including the accruals for estimated underpaid amounts, were approximately RMB13,636 and RMB30,974 as of June 30, 2021 and 2022 respectively.</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2"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640" w:right="9420" w:hanging="441"/>
        <w:spacing w:after="0" w:line="394" w:lineRule="auto"/>
        <w:tabs>
          <w:tab w:leader="none" w:pos="632" w:val="left"/>
        </w:tabs>
        <w:numPr>
          <w:ilvl w:val="0"/>
          <w:numId w:val="1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Taxation Income taxes</w:t>
      </w:r>
    </w:p>
    <w:p>
      <w:pPr>
        <w:ind w:left="640"/>
        <w:spacing w:after="0" w:line="275"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Current income taxes are provided based on net profit (loss) for financial reporting purposes, adjusted for income and expense items which are not assessable or deductible for income tax purposes, in accordance with the regulations of the relevant tax jurisdictions.</w:t>
      </w:r>
    </w:p>
    <w:p>
      <w:pPr>
        <w:spacing w:after="0" w:line="57" w:lineRule="exact"/>
        <w:rPr>
          <w:rFonts w:ascii="Times New Roman" w:cs="Times New Roman" w:eastAsia="Times New Roman" w:hAnsi="Times New Roman"/>
          <w:sz w:val="17"/>
          <w:szCs w:val="17"/>
          <w:b w:val="1"/>
          <w:bCs w:val="1"/>
          <w:i w:val="1"/>
          <w:iCs w:val="1"/>
          <w:color w:val="auto"/>
        </w:rPr>
      </w:pPr>
    </w:p>
    <w:p>
      <w:pPr>
        <w:ind w:left="640" w:right="20"/>
        <w:spacing w:after="0" w:line="27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Deferred income taxes are recognized for temporary differences between the tax bases of assets and liabilities and their reported amounts in the consolidated financial statements, net operating loss carry forwards and credits. Deferred tax assets are reduced by a valuation allowance when, in the opinion of management, it is more likely than not that some portion or all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reversed or settled. The effect on deferred tax assets and liabilities of changes in tax rates is recognized in the statement of comprehensive income (loss) in the period of the enactment of the change.</w:t>
      </w:r>
    </w:p>
    <w:p>
      <w:pPr>
        <w:spacing w:after="0" w:line="63" w:lineRule="exact"/>
        <w:rPr>
          <w:rFonts w:ascii="Times New Roman" w:cs="Times New Roman" w:eastAsia="Times New Roman" w:hAnsi="Times New Roman"/>
          <w:sz w:val="17"/>
          <w:szCs w:val="17"/>
          <w:b w:val="1"/>
          <w:bCs w:val="1"/>
          <w:i w:val="1"/>
          <w:iCs w:val="1"/>
          <w:color w:val="auto"/>
        </w:rPr>
      </w:pPr>
    </w:p>
    <w:p>
      <w:pPr>
        <w:ind w:left="640" w:right="20"/>
        <w:spacing w:after="0" w:line="249"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The Group considers positive and negative evidence when determining whether a portion or all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 The Group records a valuation allowance to reduce the amount of deferred tax assets if based on the weight of available evidence, it is more-likely-than-not that some portion, or all, of the deferred tax assets will not be realized.</w:t>
      </w:r>
    </w:p>
    <w:p>
      <w:pPr>
        <w:spacing w:after="0" w:line="295" w:lineRule="exact"/>
        <w:rPr>
          <w:rFonts w:ascii="Times New Roman" w:cs="Times New Roman" w:eastAsia="Times New Roman" w:hAnsi="Times New Roman"/>
          <w:sz w:val="17"/>
          <w:szCs w:val="17"/>
          <w:b w:val="1"/>
          <w:bCs w:val="1"/>
          <w:i w:val="1"/>
          <w:iCs w:val="1"/>
          <w:color w:val="auto"/>
        </w:rPr>
      </w:pPr>
    </w:p>
    <w:p>
      <w:pPr>
        <w:ind w:left="6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b w:val="1"/>
          <w:bCs w:val="1"/>
          <w:i w:val="1"/>
          <w:iCs w:val="1"/>
          <w:color w:val="auto"/>
        </w:rPr>
        <w:t>Value added Tax (“VAT”)</w:t>
      </w:r>
    </w:p>
    <w:p>
      <w:pPr>
        <w:spacing w:after="0" w:line="116" w:lineRule="exact"/>
        <w:rPr>
          <w:rFonts w:ascii="Times New Roman" w:cs="Times New Roman" w:eastAsia="Times New Roman" w:hAnsi="Times New Roman"/>
          <w:sz w:val="17"/>
          <w:szCs w:val="17"/>
          <w:b w:val="1"/>
          <w:bCs w:val="1"/>
          <w:i w:val="1"/>
          <w:iCs w:val="1"/>
          <w:color w:val="auto"/>
        </w:rPr>
      </w:pPr>
    </w:p>
    <w:p>
      <w:pPr>
        <w:ind w:left="640" w:right="80"/>
        <w:spacing w:after="0" w:line="27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is subject to VAT at the rate of 6% depending on whether the entity is a general taxpayer, and related surcharges on revenue generated from providing services. Entities that are VAT general taxpayers are allowed to offset qualified input VAT, paid to suppliers against their output VAT liabilities. Net VAT balance between input VAT and output VAT is recorded in the line item of accrued expense and other liabilities on the face of balance sheet. The Group records revenue net of value added tax and the Group records the related surcharges as cost of revenues.</w:t>
      </w:r>
    </w:p>
    <w:p>
      <w:pPr>
        <w:spacing w:after="0" w:line="306" w:lineRule="exact"/>
        <w:rPr>
          <w:rFonts w:ascii="Times New Roman" w:cs="Times New Roman" w:eastAsia="Times New Roman" w:hAnsi="Times New Roman"/>
          <w:sz w:val="17"/>
          <w:szCs w:val="17"/>
          <w:b w:val="1"/>
          <w:bCs w:val="1"/>
          <w:i w:val="1"/>
          <w:iCs w:val="1"/>
          <w:color w:val="auto"/>
        </w:rPr>
      </w:pPr>
    </w:p>
    <w:p>
      <w:pPr>
        <w:ind w:left="620" w:hanging="421"/>
        <w:spacing w:after="0"/>
        <w:tabs>
          <w:tab w:leader="none" w:pos="620"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loss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Comprehensive loss is defined to include all changes in equity/(deficit) of the Group during a period arising from transactions and other events and circumstances excluding transactions resulting from investments by shareholders and distributions to shareholders. Comprehensive loss includes net loss and foreign currency translation adjustments of the Group.</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320" w:top="452" w:right="5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620" w:hanging="421"/>
        <w:spacing w:after="0"/>
        <w:tabs>
          <w:tab w:leader="none" w:pos="620"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7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Group’s chief operating decision maker, the Chief Executive Officer, reviews the consolidated results when making decisions about allocating resources and assessing performance of the Group as a whole and hence, the Group has only one reportable segment. The Company does not distinguish between markets or segments for the purpose of internal reporting. The Group’s long-lived assets are substantially all located in the PRC and substantially all the Group’s revenues are derived from within the PRC. Therefore, no geographical segments are presented.</w:t>
      </w:r>
    </w:p>
    <w:p>
      <w:pPr>
        <w:spacing w:after="0" w:line="307" w:lineRule="exact"/>
        <w:rPr>
          <w:sz w:val="20"/>
          <w:szCs w:val="20"/>
          <w:color w:val="auto"/>
        </w:rPr>
      </w:pPr>
    </w:p>
    <w:p>
      <w:pPr>
        <w:ind w:left="620" w:hanging="421"/>
        <w:spacing w:after="0"/>
        <w:tabs>
          <w:tab w:leader="none" w:pos="620" w:val="left"/>
        </w:tabs>
        <w:numPr>
          <w:ilvl w:val="0"/>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w:t>
      </w:r>
    </w:p>
    <w:p>
      <w:pPr>
        <w:spacing w:after="0" w:line="69" w:lineRule="exact"/>
        <w:rPr>
          <w:rFonts w:ascii="Times New Roman" w:cs="Times New Roman" w:eastAsia="Times New Roman" w:hAnsi="Times New Roman"/>
          <w:sz w:val="18"/>
          <w:szCs w:val="18"/>
          <w:b w:val="1"/>
          <w:bCs w:val="1"/>
          <w:i w:val="1"/>
          <w:iCs w:val="1"/>
          <w:color w:val="auto"/>
        </w:rPr>
      </w:pPr>
    </w:p>
    <w:p>
      <w:pPr>
        <w:ind w:left="640" w:right="20"/>
        <w:spacing w:after="0" w:line="27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June 2016, the FASB issued ASU No. 2016-13, “Financial Instruments-Credit Losses (Topic 326), Measurement of Credit Losses on Financial Instruments”. The guidance replaced the incurred loss impairment methodology with an expected credit loss model for which an entity recognizes an allowance based on the estimate of expected credit losses. For public companies, the amendments were effective for annual periods beginning after December 15, 2019, including interim periods within those fiscal year. Early adoption is permitted. For all other entities, the amendments were effective for fiscal years beginning after December 15, 2020, and interim periods within fiscal years beginning after December 15, 2021. The Group early adopted this guidance on July 1, 2019, and the adoption did not have a material impact on its consolidated financial statements.</w:t>
      </w:r>
    </w:p>
    <w:p>
      <w:pPr>
        <w:spacing w:after="0" w:line="63" w:lineRule="exact"/>
        <w:rPr>
          <w:rFonts w:ascii="Times New Roman" w:cs="Times New Roman" w:eastAsia="Times New Roman" w:hAnsi="Times New Roman"/>
          <w:sz w:val="18"/>
          <w:szCs w:val="18"/>
          <w:b w:val="1"/>
          <w:bCs w:val="1"/>
          <w:i w:val="1"/>
          <w:iCs w:val="1"/>
          <w:color w:val="auto"/>
        </w:rPr>
      </w:pPr>
    </w:p>
    <w:p>
      <w:pPr>
        <w:ind w:left="640" w:right="8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June 2018, the FASB issued ASU 2018-07, Compensation-Stock Compensation (Topic 718): Improvements to Nonemployee Share-Based Payment Accounting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cost and reduce volatility in the income statement. The guidance was effective for public business entities in annual periods beginning after December 15, 2018, and interim periods within those years. For all other entities, the amendments are effective for fiscal years beginning after December 15, 2019, and interim periods within fiscal years beginning after December 15, 2020. The Group adopted such pronouncement on July 1, 2019. The adoption did not have a material impact to the Group’s consolidated financial statements.</w:t>
      </w:r>
    </w:p>
    <w:p>
      <w:pPr>
        <w:spacing w:after="0" w:line="67" w:lineRule="exact"/>
        <w:rPr>
          <w:rFonts w:ascii="Times New Roman" w:cs="Times New Roman" w:eastAsia="Times New Roman" w:hAnsi="Times New Roman"/>
          <w:sz w:val="18"/>
          <w:szCs w:val="18"/>
          <w:b w:val="1"/>
          <w:bCs w:val="1"/>
          <w:i w:val="1"/>
          <w:iCs w:val="1"/>
          <w:color w:val="auto"/>
        </w:rPr>
      </w:pPr>
    </w:p>
    <w:p>
      <w:pPr>
        <w:ind w:left="640" w:right="4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August 2018, the FASB issued ASU 2018-13, Fair Value Measurement (Topic 820): Disclosure Framework-Changes to the Disclosure Requirements for Fair Value Measurement, which was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from the date of issuance. The Group elected to early adopt this guidance on July 1, 2019, and the adoption did not have a material impact on its consolidated financial statements.</w:t>
      </w:r>
    </w:p>
    <w:p>
      <w:pPr>
        <w:spacing w:after="0" w:line="67" w:lineRule="exact"/>
        <w:rPr>
          <w:rFonts w:ascii="Times New Roman" w:cs="Times New Roman" w:eastAsia="Times New Roman" w:hAnsi="Times New Roman"/>
          <w:sz w:val="18"/>
          <w:szCs w:val="18"/>
          <w:b w:val="1"/>
          <w:bCs w:val="1"/>
          <w:i w:val="1"/>
          <w:iCs w:val="1"/>
          <w:color w:val="auto"/>
        </w:rPr>
      </w:pPr>
    </w:p>
    <w:p>
      <w:pPr>
        <w:ind w:left="64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 — Contracts in Entity’s Own Equity (Subtopic 815-40), Accounting for Convertible Instruments and Contracts in an Entity’s Own Equity. ASU 2020-06 simplifies the accounting for convertible instruments by reducing the number of accounting models available for convertible</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40"/>
          </w:cols>
          <w:pgMar w:left="320" w:top="452" w:right="5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40"/>
        <w:spacing w:after="0" w:line="270" w:lineRule="auto"/>
        <w:rPr>
          <w:sz w:val="20"/>
          <w:szCs w:val="20"/>
          <w:color w:val="auto"/>
        </w:rPr>
      </w:pPr>
      <w:r>
        <w:rPr>
          <w:rFonts w:ascii="Times New Roman" w:cs="Times New Roman" w:eastAsia="Times New Roman" w:hAnsi="Times New Roman"/>
          <w:sz w:val="17"/>
          <w:szCs w:val="17"/>
          <w:color w:val="auto"/>
        </w:rPr>
        <w:t>debt instruments. This guidance also eliminates the treasury stock method to calculate diluted earnings per share for convertible instruments and requires the use of the if-converted method.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The Group adopted this update on July 1, 2021. The impact of adopting the new standard was not material to the consolidated financial statements.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(ab)  Recently issued accounting pronouncements not yet adopted</w:t>
      </w:r>
    </w:p>
    <w:p>
      <w:pPr>
        <w:spacing w:after="0" w:line="116" w:lineRule="exact"/>
        <w:rPr>
          <w:sz w:val="20"/>
          <w:szCs w:val="20"/>
          <w:color w:val="auto"/>
        </w:rPr>
      </w:pPr>
    </w:p>
    <w:p>
      <w:pPr>
        <w:ind w:left="640" w:right="120"/>
        <w:spacing w:after="0" w:line="251" w:lineRule="auto"/>
        <w:rPr>
          <w:sz w:val="20"/>
          <w:szCs w:val="20"/>
          <w:color w:val="auto"/>
        </w:rPr>
      </w:pPr>
      <w:r>
        <w:rPr>
          <w:rFonts w:ascii="Times New Roman" w:cs="Times New Roman" w:eastAsia="Times New Roman" w:hAnsi="Times New Roman"/>
          <w:sz w:val="18"/>
          <w:szCs w:val="18"/>
          <w:color w:val="auto"/>
        </w:rPr>
        <w:t>In December 2019, the FASB issued ASU 2019-12, Simplifying the Accounting for Income Taxes, which simplify various aspects related to accounting for income taxes. ASU 2019-12 removes certain exceptions to the general principles in ASC 740 and clarifies and amends existing guidance to improve consistent application. For public business entities, the amendments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Early adoption of the amendments is permitted. The Group plans to adopt the update starting from the fiscal year beginning on July 1, 2022. The Group is currently evaluating the impact of the new guidance on the consolidated financial statements.</w:t>
      </w:r>
    </w:p>
    <w:p>
      <w:pPr>
        <w:spacing w:after="0" w:line="80" w:lineRule="exact"/>
        <w:rPr>
          <w:sz w:val="20"/>
          <w:szCs w:val="20"/>
          <w:color w:val="auto"/>
        </w:rPr>
      </w:pPr>
    </w:p>
    <w:p>
      <w:pPr>
        <w:ind w:left="640"/>
        <w:spacing w:after="0" w:line="267"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public business entities for fiscal years beginning after December 15, 2022, including interim periods within those fiscal years. For all other entities, the amendments are effective for fiscal years beginning after December 15, 2023, including interim periods within those fiscal years. Early adoption of the amendments is permitted. The amendments should be applied prospectively to business combinations occurring on or after the effective date of the amendments. The Group has not determined yet to early adopt and plans to adopt the update starting from the fiscal year beginning on July 1, 2024. The Group is currently evaluating the impact of the new guidance on the consolidated financial statements.</w:t>
      </w:r>
    </w:p>
    <w:p>
      <w:pPr>
        <w:spacing w:after="0" w:line="319" w:lineRule="exact"/>
        <w:rPr>
          <w:sz w:val="20"/>
          <w:szCs w:val="20"/>
          <w:color w:val="auto"/>
        </w:rPr>
      </w:pPr>
    </w:p>
    <w:p>
      <w:pPr>
        <w:ind w:left="640" w:right="7680" w:hanging="441"/>
        <w:spacing w:after="0" w:line="393" w:lineRule="auto"/>
        <w:tabs>
          <w:tab w:leader="none" w:pos="632"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and risks </w:t>
      </w:r>
      <w:r>
        <w:rPr>
          <w:rFonts w:ascii="Times New Roman" w:cs="Times New Roman" w:eastAsia="Times New Roman" w:hAnsi="Times New Roman"/>
          <w:sz w:val="17"/>
          <w:szCs w:val="17"/>
          <w:i w:val="1"/>
          <w:iCs w:val="1"/>
          <w:color w:val="auto"/>
        </w:rPr>
        <w:t>Concentration of foreign currency risk</w:t>
      </w:r>
    </w:p>
    <w:p>
      <w:pPr>
        <w:ind w:left="640" w:right="4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operating transactions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“PBOC”). Remittances in currencies other than RMB by the Group in the PRC must be processed through PBOC or other PRC foreign exchange regulatory bodies which require certain supporting documents in order to effect the remittances. As of June 30, 2021, all the Group’s cash and cash equivalents and short-term investments denominated in RMB. As of June 30, 2022, the Group’s cash and cash equivalents and short-term investments denominated in RMB were RMB346,667, accounting for 86.87% of the Group’s total cash and cash equivalents and short-term investments.</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40"/>
          </w:cols>
          <w:pgMar w:left="320" w:top="452" w:right="5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114" w:lineRule="exact"/>
        <w:rPr>
          <w:sz w:val="20"/>
          <w:szCs w:val="20"/>
          <w:color w:val="auto"/>
        </w:rPr>
      </w:pPr>
    </w:p>
    <w:p>
      <w:pPr>
        <w:jc w:val="both"/>
        <w:ind w:left="640" w:right="340"/>
        <w:spacing w:after="0" w:line="261" w:lineRule="auto"/>
        <w:rPr>
          <w:sz w:val="20"/>
          <w:szCs w:val="20"/>
          <w:color w:val="auto"/>
        </w:rPr>
      </w:pPr>
      <w:r>
        <w:rPr>
          <w:rFonts w:ascii="Times New Roman" w:cs="Times New Roman" w:eastAsia="Times New Roman" w:hAnsi="Times New Roman"/>
          <w:sz w:val="18"/>
          <w:szCs w:val="18"/>
          <w:color w:val="auto"/>
        </w:rPr>
        <w:t>There were no customers accounted for more than 10% of the Group’s total revenues for the years ended June 30, 2021 and 2022 respectively. There were three and one customers individually accounted for more than 10% of the Group’s net accounts receivable as of June 30, 2021 and 2022, respectively.</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receivables, net</w:t>
            </w: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93"/>
        </w:trPr>
        <w:tc>
          <w:tcPr>
            <w:tcW w:w="8780" w:type="dxa"/>
            <w:vAlign w:val="bottom"/>
            <w:vMerge w:val="continue"/>
          </w:tcPr>
          <w:p>
            <w:pPr>
              <w:spacing w:after="0"/>
              <w:rPr>
                <w:sz w:val="16"/>
                <w:szCs w:val="16"/>
                <w:color w:val="auto"/>
              </w:rPr>
            </w:pPr>
          </w:p>
        </w:tc>
        <w:tc>
          <w:tcPr>
            <w:tcW w:w="80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27.8%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8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8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160" w:hanging="535"/>
        <w:spacing w:after="0"/>
        <w:tabs>
          <w:tab w:leader="none" w:pos="1160" w:val="left"/>
        </w:tabs>
        <w:numPr>
          <w:ilvl w:val="0"/>
          <w:numId w:val="1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percentage was below 10% for the period.</w:t>
      </w:r>
    </w:p>
    <w:p>
      <w:pPr>
        <w:spacing w:after="0" w:line="27" w:lineRule="exact"/>
        <w:rPr>
          <w:sz w:val="20"/>
          <w:szCs w:val="20"/>
          <w:color w:val="auto"/>
        </w:rPr>
      </w:pPr>
    </w:p>
    <w:p>
      <w:pPr>
        <w:ind w:left="1160" w:right="40" w:hanging="535"/>
        <w:spacing w:after="0" w:line="250" w:lineRule="auto"/>
        <w:tabs>
          <w:tab w:leader="none" w:pos="1160" w:val="left"/>
        </w:tabs>
        <w:numPr>
          <w:ilvl w:val="0"/>
          <w:numId w:val="1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D is Beijing Baichuan Insurance Brokerage Co., Ltd., a related party of the Group, from which the gross accounts receivable for marketing services was RMB23,202 and recorded in “amounts due from related parties”, which represents 92.2% of all accounts receivables from third parties and related parties.</w:t>
      </w:r>
    </w:p>
    <w:p>
      <w:pPr>
        <w:spacing w:after="0" w:line="79" w:lineRule="exact"/>
        <w:rPr>
          <w:sz w:val="20"/>
          <w:szCs w:val="20"/>
          <w:color w:val="auto"/>
        </w:rPr>
      </w:pPr>
    </w:p>
    <w:p>
      <w:pPr>
        <w:ind w:left="640" w:right="60"/>
        <w:spacing w:after="0" w:line="261" w:lineRule="auto"/>
        <w:rPr>
          <w:sz w:val="20"/>
          <w:szCs w:val="20"/>
          <w:color w:val="auto"/>
        </w:rPr>
      </w:pPr>
      <w:r>
        <w:rPr>
          <w:rFonts w:ascii="Times New Roman" w:cs="Times New Roman" w:eastAsia="Times New Roman" w:hAnsi="Times New Roman"/>
          <w:sz w:val="18"/>
          <w:szCs w:val="18"/>
          <w:color w:val="auto"/>
        </w:rPr>
        <w:t>There was one supplier, i.e. an advertising and marketing promotion agency, which individually accounted for 12.6% of the Group’s total costs and expenses for the years ended June 30, 2021. There was no supplier which individually accounted for more than 10% of the Group’s total costs and expenses for the year ended June 30, 2022.</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Credit and concentration risk</w:t>
      </w:r>
    </w:p>
    <w:p>
      <w:pPr>
        <w:spacing w:after="0" w:line="114" w:lineRule="exact"/>
        <w:rPr>
          <w:sz w:val="20"/>
          <w:szCs w:val="20"/>
          <w:color w:val="auto"/>
        </w:rPr>
      </w:pPr>
    </w:p>
    <w:p>
      <w:pPr>
        <w:ind w:left="640" w:right="240"/>
        <w:spacing w:after="0" w:line="283" w:lineRule="auto"/>
        <w:rPr>
          <w:sz w:val="20"/>
          <w:szCs w:val="20"/>
          <w:color w:val="auto"/>
        </w:rPr>
      </w:pPr>
      <w:r>
        <w:rPr>
          <w:rFonts w:ascii="Times New Roman" w:cs="Times New Roman" w:eastAsia="Times New Roman" w:hAnsi="Times New Roman"/>
          <w:sz w:val="17"/>
          <w:szCs w:val="17"/>
          <w:color w:val="auto"/>
        </w:rPr>
        <w:t>Financial instruments that potentially expose the Group to significant concentration of credit risk primarily consist of cash and cash equivalents and short-term investment. As of June 30, 2021, and 2022, substantially all the Group’s cash and cash equivalents and short-term investments were held in major financial institutions located in Mainland China and Hong Kong, which management considered to be of high credit quality.</w:t>
      </w:r>
    </w:p>
    <w:p>
      <w:pPr>
        <w:spacing w:after="0" w:line="304" w:lineRule="exact"/>
        <w:rPr>
          <w:sz w:val="20"/>
          <w:szCs w:val="20"/>
          <w:color w:val="auto"/>
        </w:rPr>
      </w:pPr>
    </w:p>
    <w:p>
      <w:pPr>
        <w:ind w:left="620" w:hanging="421"/>
        <w:spacing w:after="0"/>
        <w:tabs>
          <w:tab w:leader="none" w:pos="6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accounts receivable, net, as of June 30, 2021 and 2022, consists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90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9040" w:type="dxa"/>
            <w:vAlign w:val="bottom"/>
          </w:tcPr>
          <w:p>
            <w:pPr>
              <w:spacing w:after="0"/>
              <w:rPr>
                <w:sz w:val="12"/>
                <w:szCs w:val="12"/>
                <w:color w:val="auto"/>
              </w:rPr>
            </w:pPr>
          </w:p>
        </w:tc>
        <w:tc>
          <w:tcPr>
            <w:tcW w:w="580" w:type="dxa"/>
            <w:vAlign w:val="bottom"/>
          </w:tcPr>
          <w:p>
            <w:pPr>
              <w:jc w:val="right"/>
              <w:ind w:right="3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services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shd w:val="clear" w:color="auto" w:fill="CCEEFF"/>
          </w:tcPr>
          <w:p>
            <w:pPr>
              <w:spacing w:after="0"/>
              <w:rPr>
                <w:sz w:val="18"/>
                <w:szCs w:val="18"/>
                <w:color w:val="auto"/>
              </w:rPr>
            </w:pPr>
          </w:p>
        </w:tc>
      </w:tr>
      <w:tr>
        <w:trPr>
          <w:trHeight w:val="21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50,139</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r>
      <w:tr>
        <w:trPr>
          <w:trHeight w:val="21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99,127</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w:t>
            </w:r>
          </w:p>
        </w:tc>
        <w:tc>
          <w:tcPr>
            <w:tcW w:w="12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220"/>
        <w:spacing w:after="0" w:line="275" w:lineRule="auto"/>
        <w:rPr>
          <w:sz w:val="20"/>
          <w:szCs w:val="20"/>
          <w:color w:val="auto"/>
        </w:rPr>
      </w:pPr>
      <w:r>
        <w:rPr>
          <w:rFonts w:ascii="Times New Roman" w:cs="Times New Roman" w:eastAsia="Times New Roman" w:hAnsi="Times New Roman"/>
          <w:sz w:val="18"/>
          <w:szCs w:val="18"/>
          <w:color w:val="auto"/>
        </w:rPr>
        <w:t>Accounts receivable, net are mainly amounts due from insurance intermediaries and securities brokerage firms, and are non-interest bearing and generally on terms between 30 days to 90 days.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60"/>
          </w:cols>
          <w:pgMar w:left="320" w:top="452" w:right="5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movements in the allowance for credit losses are as follows:</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5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79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7920" w:type="dxa"/>
            <w:vAlign w:val="bottom"/>
          </w:tcPr>
          <w:p>
            <w:pPr>
              <w:spacing w:after="0"/>
              <w:rPr>
                <w:sz w:val="12"/>
                <w:szCs w:val="12"/>
                <w:color w:val="auto"/>
              </w:rPr>
            </w:pPr>
          </w:p>
        </w:tc>
        <w:tc>
          <w:tcPr>
            <w:tcW w:w="700" w:type="dxa"/>
            <w:vAlign w:val="bottom"/>
          </w:tcPr>
          <w:p>
            <w:pPr>
              <w:jc w:val="right"/>
              <w:ind w:right="11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940" w:type="dxa"/>
            <w:vAlign w:val="bottom"/>
          </w:tcPr>
          <w:p>
            <w:pPr>
              <w:spacing w:after="0"/>
              <w:rPr>
                <w:sz w:val="12"/>
                <w:szCs w:val="12"/>
                <w:color w:val="auto"/>
              </w:rPr>
            </w:pPr>
          </w:p>
        </w:tc>
        <w:tc>
          <w:tcPr>
            <w:tcW w:w="740" w:type="dxa"/>
            <w:vAlign w:val="bottom"/>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6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(Additions)/Reversals</w:t>
            </w: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6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9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2" w:lineRule="exact"/>
        <w:rPr>
          <w:sz w:val="20"/>
          <w:szCs w:val="20"/>
          <w:color w:val="auto"/>
        </w:rPr>
      </w:pPr>
    </w:p>
    <w:p>
      <w:pPr>
        <w:ind w:left="620" w:hanging="421"/>
        <w:spacing w:after="0"/>
        <w:tabs>
          <w:tab w:leader="none" w:pos="6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as of June 30, 2021 and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15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8840" w:type="dxa"/>
            <w:vAlign w:val="bottom"/>
          </w:tcPr>
          <w:p>
            <w:pPr>
              <w:spacing w:after="0"/>
              <w:rPr>
                <w:sz w:val="12"/>
                <w:szCs w:val="12"/>
                <w:color w:val="auto"/>
              </w:rPr>
            </w:pPr>
          </w:p>
        </w:tc>
        <w:tc>
          <w:tcPr>
            <w:tcW w:w="680" w:type="dxa"/>
            <w:vAlign w:val="bottom"/>
            <w:tcBorders>
              <w:top w:val="single" w:sz="8" w:color="auto"/>
            </w:tcBorders>
          </w:tcPr>
          <w:p>
            <w:pPr>
              <w:jc w:val="right"/>
              <w:ind w:right="136"/>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tcBorders>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0"/>
        </w:trPr>
        <w:tc>
          <w:tcPr>
            <w:tcW w:w="8840" w:type="dxa"/>
            <w:vAlign w:val="bottom"/>
          </w:tcPr>
          <w:p>
            <w:pPr>
              <w:spacing w:after="0"/>
              <w:rPr>
                <w:sz w:val="12"/>
                <w:szCs w:val="12"/>
                <w:color w:val="auto"/>
              </w:rPr>
            </w:pPr>
          </w:p>
        </w:tc>
        <w:tc>
          <w:tcPr>
            <w:tcW w:w="680" w:type="dxa"/>
            <w:vAlign w:val="bottom"/>
            <w:tcBorders>
              <w:top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r>
      <w:tr>
        <w:trPr>
          <w:trHeight w:val="21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promotion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86,686</w:t>
            </w:r>
          </w:p>
        </w:tc>
        <w:tc>
          <w:tcPr>
            <w:tcW w:w="80" w:type="dxa"/>
            <w:vAlign w:val="bottom"/>
            <w:shd w:val="clear" w:color="auto" w:fill="CCEEFF"/>
          </w:tcPr>
          <w:p>
            <w:pPr>
              <w:spacing w:after="0"/>
              <w:rPr>
                <w:sz w:val="18"/>
                <w:szCs w:val="18"/>
                <w:color w:val="auto"/>
              </w:rPr>
            </w:pPr>
          </w:p>
        </w:tc>
      </w:tr>
      <w:tr>
        <w:trPr>
          <w:trHeight w:val="213"/>
        </w:trPr>
        <w:tc>
          <w:tcPr>
            <w:tcW w:w="884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Prepaid input value-added tax</w:t>
            </w:r>
            <w:r>
              <w:rPr>
                <w:rFonts w:ascii="Times New Roman" w:cs="Times New Roman" w:eastAsia="Times New Roman" w:hAnsi="Times New Roman"/>
                <w:sz w:val="24"/>
                <w:szCs w:val="24"/>
                <w:color w:val="auto"/>
                <w:vertAlign w:val="superscript"/>
              </w:rPr>
              <w:t>(i)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8"/>
                <w:szCs w:val="18"/>
                <w:color w:val="auto"/>
              </w:rPr>
            </w:pPr>
          </w:p>
        </w:tc>
      </w:tr>
      <w:tr>
        <w:trPr>
          <w:trHeight w:val="213"/>
        </w:trPr>
        <w:tc>
          <w:tcPr>
            <w:tcW w:w="88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Prepaid other service fees</w:t>
            </w:r>
            <w:r>
              <w:rPr>
                <w:rFonts w:ascii="Times New Roman" w:cs="Times New Roman" w:eastAsia="Times New Roman" w:hAnsi="Times New Roman"/>
                <w:sz w:val="24"/>
                <w:szCs w:val="24"/>
                <w:color w:val="auto"/>
                <w:vertAlign w:val="superscript"/>
              </w:rPr>
              <w:t>(ii)</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shd w:val="clear" w:color="auto" w:fill="CCEEFF"/>
          </w:tcPr>
          <w:p>
            <w:pPr>
              <w:spacing w:after="0"/>
              <w:rPr>
                <w:sz w:val="18"/>
                <w:szCs w:val="18"/>
                <w:color w:val="auto"/>
              </w:rPr>
            </w:pPr>
          </w:p>
        </w:tc>
      </w:tr>
      <w:tr>
        <w:trPr>
          <w:trHeight w:val="213"/>
        </w:trPr>
        <w:tc>
          <w:tcPr>
            <w:tcW w:w="884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Receivables from third party payment platforms</w:t>
            </w:r>
            <w:r>
              <w:rPr>
                <w:rFonts w:ascii="Times New Roman" w:cs="Times New Roman" w:eastAsia="Times New Roman" w:hAnsi="Times New Roman"/>
                <w:sz w:val="24"/>
                <w:szCs w:val="24"/>
                <w:color w:val="auto"/>
                <w:vertAlign w:val="superscript"/>
              </w:rPr>
              <w:t>(iii)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80" w:type="dxa"/>
            <w:vAlign w:val="bottom"/>
          </w:tcPr>
          <w:p>
            <w:pPr>
              <w:spacing w:after="0"/>
              <w:rPr>
                <w:sz w:val="18"/>
                <w:szCs w:val="18"/>
                <w:color w:val="auto"/>
              </w:rPr>
            </w:pPr>
          </w:p>
        </w:tc>
      </w:tr>
      <w:tr>
        <w:trPr>
          <w:trHeight w:val="21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r>
      <w:tr>
        <w:trPr>
          <w:trHeight w:val="213"/>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80" w:type="dxa"/>
            <w:vAlign w:val="bottom"/>
          </w:tcPr>
          <w:p>
            <w:pPr>
              <w:spacing w:after="0"/>
              <w:rPr>
                <w:sz w:val="18"/>
                <w:szCs w:val="18"/>
                <w:color w:val="auto"/>
              </w:rPr>
            </w:pPr>
          </w:p>
        </w:tc>
      </w:tr>
      <w:tr>
        <w:trPr>
          <w:trHeight w:val="21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9"/>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118,582</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115,560</w:t>
            </w:r>
          </w:p>
        </w:tc>
        <w:tc>
          <w:tcPr>
            <w:tcW w:w="8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60" w:hanging="535"/>
        <w:spacing w:after="0"/>
        <w:tabs>
          <w:tab w:leader="none" w:pos="1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input value-added tax consists of VAT input that is expected to offset with VAT output tax or to be transferred out in the future.</w:t>
      </w:r>
    </w:p>
    <w:p>
      <w:pPr>
        <w:spacing w:after="0" w:line="24"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other service fees consist of prepayment of cloud server hosting fees and others.</w:t>
      </w:r>
    </w:p>
    <w:p>
      <w:pPr>
        <w:spacing w:after="0" w:line="5" w:lineRule="exact"/>
        <w:rPr>
          <w:rFonts w:ascii="Times New Roman" w:cs="Times New Roman" w:eastAsia="Times New Roman" w:hAnsi="Times New Roman"/>
          <w:sz w:val="18"/>
          <w:szCs w:val="18"/>
          <w:color w:val="auto"/>
        </w:rPr>
      </w:pPr>
    </w:p>
    <w:p>
      <w:pPr>
        <w:ind w:left="1160" w:right="120" w:hanging="535"/>
        <w:spacing w:after="0" w:line="253" w:lineRule="auto"/>
        <w:tabs>
          <w:tab w:leader="none" w:pos="1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from third party payment platforms consist of cash that has been received from course participants but held by the third-party payment platforms. The Group subsequently collected the full balance from the third party payment platforms.</w:t>
      </w:r>
    </w:p>
    <w:p>
      <w:pPr>
        <w:spacing w:after="0" w:line="326" w:lineRule="exact"/>
        <w:rPr>
          <w:rFonts w:ascii="Times New Roman" w:cs="Times New Roman" w:eastAsia="Times New Roman" w:hAnsi="Times New Roman"/>
          <w:sz w:val="18"/>
          <w:szCs w:val="18"/>
          <w:color w:val="auto"/>
        </w:rPr>
      </w:pPr>
    </w:p>
    <w:p>
      <w:pPr>
        <w:ind w:left="620" w:hanging="421"/>
        <w:spacing w:after="0"/>
        <w:tabs>
          <w:tab w:leader="none" w:pos="6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June 30, 2021 and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60" w:type="dxa"/>
            <w:vAlign w:val="bottom"/>
          </w:tcPr>
          <w:p>
            <w:pPr>
              <w:jc w:val="right"/>
              <w:ind w:right="38"/>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0" w:type="dxa"/>
            <w:vAlign w:val="bottom"/>
          </w:tcPr>
          <w:p>
            <w:pPr>
              <w:jc w:val="right"/>
              <w:ind w:right="5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(5,495)</w:t>
            </w: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4,749</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Depreciation expenses for the years ended June 30, 2021 and 2022 were RMB1,397 and RMB4,016 respectively.</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60"/>
          </w:cols>
          <w:pgMar w:left="320" w:top="452" w:right="5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as of June 30, 2021 and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80" w:type="dxa"/>
            <w:vAlign w:val="bottom"/>
          </w:tcPr>
          <w:p>
            <w:pPr>
              <w:jc w:val="right"/>
              <w:ind w:right="3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80" w:type="dxa"/>
            <w:vAlign w:val="bottom"/>
          </w:tcPr>
          <w:p>
            <w:pPr>
              <w:jc w:val="right"/>
              <w:ind w:right="5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license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(1,778)</w:t>
            </w:r>
          </w:p>
        </w:tc>
      </w:tr>
      <w:tr>
        <w:trPr>
          <w:trHeight w:val="219"/>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33,332</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80"/>
        <w:spacing w:after="0" w:line="252" w:lineRule="auto"/>
        <w:rPr>
          <w:sz w:val="20"/>
          <w:szCs w:val="20"/>
          <w:color w:val="auto"/>
        </w:rPr>
      </w:pPr>
      <w:r>
        <w:rPr>
          <w:rFonts w:ascii="Times New Roman" w:cs="Times New Roman" w:eastAsia="Times New Roman" w:hAnsi="Times New Roman"/>
          <w:sz w:val="18"/>
          <w:szCs w:val="18"/>
          <w:color w:val="auto"/>
        </w:rPr>
        <w:t>On November 27, 2020, Changyou Star purchased 100% equity of Beijing Baichuan Insurance Brokerage Co., Ltd. from third parties for a consideration of RMB30,000. Before the acquisition, there were no operations or employees in the acquiree, and substantially all of the fair value of the gross assets acquired concentrated in the acquiree’s insurance brokerage license, thus the acquisition was accounted for as an asset acquisition and management recognized the insurance brokerage license as intangible asset, which had a useful life of 52 months and is amortized on a straight-line basis. The Group then developed the Brokerage Business in Baichuan. On March 1, 2022, the brokerage license was disposed together with the disposal of Baichuan’s business (Note 19).</w:t>
      </w:r>
    </w:p>
    <w:p>
      <w:pPr>
        <w:spacing w:after="0" w:line="79" w:lineRule="exact"/>
        <w:rPr>
          <w:sz w:val="20"/>
          <w:szCs w:val="20"/>
          <w:color w:val="auto"/>
        </w:rPr>
      </w:pPr>
    </w:p>
    <w:p>
      <w:pPr>
        <w:ind w:left="640" w:right="740"/>
        <w:spacing w:after="0" w:line="275" w:lineRule="auto"/>
        <w:rPr>
          <w:sz w:val="20"/>
          <w:szCs w:val="20"/>
          <w:color w:val="auto"/>
        </w:rPr>
      </w:pPr>
      <w:r>
        <w:rPr>
          <w:rFonts w:ascii="Times New Roman" w:cs="Times New Roman" w:eastAsia="Times New Roman" w:hAnsi="Times New Roman"/>
          <w:sz w:val="18"/>
          <w:szCs w:val="18"/>
          <w:color w:val="auto"/>
        </w:rPr>
        <w:t>Amortization expense on intangible assets for the years ended June 30, 2021 and 2022 were RMB6,025 and RMB6,579 respectively. No impairment for intangible assets was recorded for the years ended June 30, 2021 and 2022.</w:t>
      </w:r>
    </w:p>
    <w:p>
      <w:pPr>
        <w:spacing w:after="0" w:line="308" w:lineRule="exact"/>
        <w:rPr>
          <w:sz w:val="20"/>
          <w:szCs w:val="20"/>
          <w:color w:val="auto"/>
        </w:rPr>
      </w:pPr>
    </w:p>
    <w:p>
      <w:pPr>
        <w:ind w:left="620" w:hanging="421"/>
        <w:spacing w:after="0"/>
        <w:tabs>
          <w:tab w:leader="none" w:pos="6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payables</w:t>
      </w:r>
    </w:p>
    <w:p>
      <w:pPr>
        <w:spacing w:after="0" w:line="114" w:lineRule="exact"/>
        <w:rPr>
          <w:rFonts w:ascii="Times New Roman" w:cs="Times New Roman" w:eastAsia="Times New Roman" w:hAnsi="Times New Roman"/>
          <w:sz w:val="18"/>
          <w:szCs w:val="18"/>
          <w:b w:val="1"/>
          <w:bCs w:val="1"/>
          <w:color w:val="auto"/>
        </w:rPr>
      </w:pPr>
    </w:p>
    <w:p>
      <w:pPr>
        <w:ind w:left="6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amounts represent liabilities for services provided to the Group prior to the end of financial year which are unpaid. The amounts are unsecured and are usually paid within 30 days of recognition. Accounts payables are mainly comprised of marketing promotion expenses payables to third parties as of June 30, 2021 and 2022.</w:t>
      </w:r>
    </w:p>
    <w:p>
      <w:pPr>
        <w:spacing w:after="0" w:line="319" w:lineRule="exact"/>
        <w:rPr>
          <w:rFonts w:ascii="Times New Roman" w:cs="Times New Roman" w:eastAsia="Times New Roman" w:hAnsi="Times New Roman"/>
          <w:sz w:val="18"/>
          <w:szCs w:val="18"/>
          <w:b w:val="1"/>
          <w:bCs w:val="1"/>
          <w:color w:val="auto"/>
        </w:rPr>
      </w:pPr>
    </w:p>
    <w:p>
      <w:pPr>
        <w:ind w:left="620" w:hanging="421"/>
        <w:spacing w:after="0"/>
        <w:tabs>
          <w:tab w:leader="none" w:pos="6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 summarized the Group’s outstanding accrued expenses and other current liabilities as of June 30, 2021 and 2022, respectively:</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894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tcBorders>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0"/>
        </w:trPr>
        <w:tc>
          <w:tcPr>
            <w:tcW w:w="894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r>
      <w:tr>
        <w:trPr>
          <w:trHeight w:val="21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payroll and welfare benefits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80" w:type="dxa"/>
            <w:vAlign w:val="bottom"/>
            <w:shd w:val="clear" w:color="auto" w:fill="CCEEFF"/>
          </w:tcPr>
          <w:p>
            <w:pPr>
              <w:spacing w:after="0"/>
              <w:rPr>
                <w:sz w:val="18"/>
                <w:szCs w:val="18"/>
                <w:color w:val="auto"/>
              </w:rPr>
            </w:pPr>
          </w:p>
        </w:tc>
      </w:tr>
      <w:tr>
        <w:trPr>
          <w:trHeight w:val="21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80" w:type="dxa"/>
            <w:vAlign w:val="bottom"/>
          </w:tcPr>
          <w:p>
            <w:pPr>
              <w:spacing w:after="0"/>
              <w:rPr>
                <w:sz w:val="18"/>
                <w:szCs w:val="18"/>
                <w:color w:val="auto"/>
              </w:rPr>
            </w:pPr>
          </w:p>
        </w:tc>
      </w:tr>
      <w:tr>
        <w:trPr>
          <w:trHeight w:val="21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80" w:type="dxa"/>
            <w:vAlign w:val="bottom"/>
            <w:shd w:val="clear" w:color="auto" w:fill="CCEEFF"/>
          </w:tcPr>
          <w:p>
            <w:pPr>
              <w:spacing w:after="0"/>
              <w:rPr>
                <w:sz w:val="18"/>
                <w:szCs w:val="18"/>
                <w:color w:val="auto"/>
              </w:rPr>
            </w:pPr>
          </w:p>
        </w:tc>
      </w:tr>
      <w:tr>
        <w:trPr>
          <w:trHeight w:val="213"/>
        </w:trPr>
        <w:tc>
          <w:tcPr>
            <w:tcW w:w="894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Refund liability</w:t>
            </w:r>
            <w:r>
              <w:rPr>
                <w:rFonts w:ascii="Times New Roman" w:cs="Times New Roman" w:eastAsia="Times New Roman" w:hAnsi="Times New Roman"/>
                <w:sz w:val="24"/>
                <w:szCs w:val="24"/>
                <w:color w:val="auto"/>
                <w:vertAlign w:val="superscript"/>
              </w:rPr>
              <w:t>(i)</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r>
      <w:tr>
        <w:trPr>
          <w:trHeight w:val="21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8"/>
                <w:szCs w:val="18"/>
                <w:color w:val="auto"/>
              </w:rPr>
            </w:pPr>
          </w:p>
        </w:tc>
      </w:tr>
      <w:tr>
        <w:trPr>
          <w:trHeight w:val="219"/>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68,895</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108,592</w:t>
            </w:r>
          </w:p>
        </w:tc>
        <w:tc>
          <w:tcPr>
            <w:tcW w:w="8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2" w:lineRule="exact"/>
        <w:rPr>
          <w:sz w:val="20"/>
          <w:szCs w:val="20"/>
          <w:color w:val="auto"/>
        </w:rPr>
      </w:pPr>
    </w:p>
    <w:p>
      <w:pPr>
        <w:ind w:left="1160" w:right="540" w:hanging="535"/>
        <w:spacing w:after="0" w:line="277" w:lineRule="auto"/>
        <w:tabs>
          <w:tab w:leader="none" w:pos="1160" w:val="left"/>
        </w:tabs>
        <w:numPr>
          <w:ilvl w:val="0"/>
          <w:numId w:val="1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 liability represents the estimated amounts of consideration collected by the Group which it expects to refund to its customers according to refund policy as described in Note 2(q).</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60"/>
          </w:cols>
          <w:pgMar w:left="320" w:top="452" w:right="5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114" w:lineRule="exact"/>
        <w:rPr>
          <w:rFonts w:ascii="Times New Roman" w:cs="Times New Roman" w:eastAsia="Times New Roman" w:hAnsi="Times New Roman"/>
          <w:sz w:val="18"/>
          <w:szCs w:val="18"/>
          <w:b w:val="1"/>
          <w:bCs w:val="1"/>
          <w:color w:val="auto"/>
        </w:rPr>
      </w:pPr>
    </w:p>
    <w:p>
      <w:pPr>
        <w:ind w:left="64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operating leases for corporate offices with the lease terms from within 1 month to 3 years, some of which include options to terminate the leases within certain periods. For operating leases with terms greater than 12 months, the Group records the related assets and lease liability at the present value of lease payments over the terms. Certain leases include rental escalation clauses, renewal options and/or termination option, which are factored into the Group’s determination of lease payments when appropriate.</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89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0"/>
        </w:trPr>
        <w:tc>
          <w:tcPr>
            <w:tcW w:w="894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580" w:type="dxa"/>
            <w:vAlign w:val="bottom"/>
          </w:tcPr>
          <w:p>
            <w:pPr>
              <w:jc w:val="right"/>
              <w:ind w:right="38"/>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r>
      <w:tr>
        <w:trPr>
          <w:trHeight w:val="21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9,344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80" w:type="dxa"/>
            <w:vAlign w:val="bottom"/>
            <w:shd w:val="clear" w:color="auto" w:fill="CCEEFF"/>
          </w:tcPr>
          <w:p>
            <w:pPr>
              <w:spacing w:after="0"/>
              <w:rPr>
                <w:sz w:val="18"/>
                <w:szCs w:val="18"/>
                <w:color w:val="auto"/>
              </w:rPr>
            </w:pPr>
          </w:p>
        </w:tc>
      </w:tr>
      <w:tr>
        <w:trPr>
          <w:trHeight w:val="21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7,128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80" w:type="dxa"/>
            <w:vAlign w:val="bottom"/>
          </w:tcPr>
          <w:p>
            <w:pPr>
              <w:spacing w:after="0"/>
              <w:rPr>
                <w:sz w:val="18"/>
                <w:szCs w:val="18"/>
                <w:color w:val="auto"/>
              </w:rPr>
            </w:pPr>
          </w:p>
        </w:tc>
      </w:tr>
      <w:tr>
        <w:trPr>
          <w:trHeight w:val="21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1,942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the Group’s operating lease expenses and short-term lease expenses as of June 30, 2021 and 2022:</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23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8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r>
      <w:tr>
        <w:trPr>
          <w:trHeight w:val="140"/>
        </w:trPr>
        <w:tc>
          <w:tcPr>
            <w:tcW w:w="806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60" w:type="dxa"/>
            <w:vAlign w:val="bottom"/>
            <w:shd w:val="clear" w:color="auto" w:fill="CCEEFF"/>
          </w:tcPr>
          <w:p>
            <w:pPr>
              <w:spacing w:after="0"/>
              <w:rPr>
                <w:sz w:val="18"/>
                <w:szCs w:val="18"/>
                <w:color w:val="auto"/>
              </w:rPr>
            </w:pP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7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60" w:type="dxa"/>
            <w:vAlign w:val="bottom"/>
          </w:tcPr>
          <w:p>
            <w:pPr>
              <w:spacing w:after="0"/>
              <w:rPr>
                <w:sz w:val="20"/>
                <w:szCs w:val="20"/>
                <w:color w:val="auto"/>
              </w:rPr>
            </w:pPr>
          </w:p>
        </w:tc>
      </w:tr>
      <w:tr>
        <w:trPr>
          <w:trHeight w:val="366"/>
        </w:trPr>
        <w:tc>
          <w:tcPr>
            <w:tcW w:w="8060" w:type="dxa"/>
            <w:vAlign w:val="bottom"/>
          </w:tcPr>
          <w:p>
            <w:pPr>
              <w:spacing w:after="0"/>
              <w:rPr>
                <w:sz w:val="24"/>
                <w:szCs w:val="24"/>
                <w:color w:val="auto"/>
              </w:rPr>
            </w:pPr>
          </w:p>
        </w:tc>
        <w:tc>
          <w:tcPr>
            <w:tcW w:w="23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8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r>
      <w:tr>
        <w:trPr>
          <w:trHeight w:val="140"/>
        </w:trPr>
        <w:tc>
          <w:tcPr>
            <w:tcW w:w="806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60" w:type="dxa"/>
            <w:vAlign w:val="bottom"/>
            <w:shd w:val="clear" w:color="auto" w:fill="CCEEFF"/>
          </w:tcPr>
          <w:p>
            <w:pPr>
              <w:spacing w:after="0"/>
              <w:rPr>
                <w:sz w:val="18"/>
                <w:szCs w:val="18"/>
                <w:color w:val="auto"/>
              </w:rPr>
            </w:pP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7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the Group’s operating lease terms and discount rates as of June 30, 2021 and 2022:</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6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1.41</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1.26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4.75%</w:t>
            </w:r>
          </w:p>
        </w:tc>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407"/>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2022 were as follows:</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June 30, 2023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June 30, 2024</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F-38</w:t>
            </w: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14" w:lineRule="exact"/>
        <w:rPr>
          <w:rFonts w:ascii="Times New Roman" w:cs="Times New Roman" w:eastAsia="Times New Roman" w:hAnsi="Times New Roman"/>
          <w:sz w:val="18"/>
          <w:szCs w:val="18"/>
          <w:b w:val="1"/>
          <w:bCs w:val="1"/>
          <w:color w:val="auto"/>
        </w:rPr>
      </w:pPr>
    </w:p>
    <w:p>
      <w:pPr>
        <w:ind w:left="640" w:right="6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fair value hierarchy for the Group’s assets and liabilities that are measured and recorded at fair value on a recurring basis as of June 30, 2021 and 2022:</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580" w:type="dxa"/>
            <w:vAlign w:val="bottom"/>
          </w:tcPr>
          <w:p>
            <w:pPr>
              <w:spacing w:after="0"/>
              <w:rPr>
                <w:sz w:val="12"/>
                <w:szCs w:val="12"/>
                <w:color w:val="auto"/>
              </w:rPr>
            </w:pPr>
          </w:p>
        </w:tc>
        <w:tc>
          <w:tcPr>
            <w:tcW w:w="74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2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2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8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(Level 1)</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4"/>
                <w:szCs w:val="14"/>
                <w:color w:val="auto"/>
              </w:rPr>
            </w:pPr>
          </w:p>
        </w:tc>
        <w:tc>
          <w:tcPr>
            <w:tcW w:w="86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620" w:type="dxa"/>
            <w:vAlign w:val="bottom"/>
          </w:tcPr>
          <w:p>
            <w:pPr>
              <w:spacing w:after="0"/>
              <w:rPr>
                <w:sz w:val="14"/>
                <w:szCs w:val="14"/>
                <w:color w:val="auto"/>
              </w:rPr>
            </w:pPr>
          </w:p>
        </w:tc>
        <w:tc>
          <w:tcPr>
            <w:tcW w:w="8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at Fair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spacing w:after="0"/>
              <w:rPr>
                <w:sz w:val="12"/>
                <w:szCs w:val="12"/>
                <w:color w:val="auto"/>
              </w:rPr>
            </w:pPr>
          </w:p>
        </w:tc>
        <w:tc>
          <w:tcPr>
            <w:tcW w:w="860" w:type="dxa"/>
            <w:vAlign w:val="bottom"/>
            <w:tcBorders>
              <w:top w:val="single" w:sz="8" w:color="auto"/>
            </w:tcBorders>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620" w:type="dxa"/>
            <w:vAlign w:val="bottom"/>
          </w:tcPr>
          <w:p>
            <w:pPr>
              <w:spacing w:after="0"/>
              <w:rPr>
                <w:sz w:val="19"/>
                <w:szCs w:val="19"/>
                <w:color w:val="auto"/>
              </w:rPr>
            </w:pPr>
          </w:p>
        </w:tc>
        <w:tc>
          <w:tcPr>
            <w:tcW w:w="8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29,629</w:t>
            </w:r>
          </w:p>
        </w:tc>
        <w:tc>
          <w:tcPr>
            <w:tcW w:w="62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60" w:type="dxa"/>
            <w:vAlign w:val="bottom"/>
            <w:gridSpan w:val="4"/>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8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24"/>
                <w:szCs w:val="24"/>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8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1320" w:type="dxa"/>
            <w:vAlign w:val="bottom"/>
            <w:gridSpan w:val="4"/>
          </w:tcPr>
          <w:p>
            <w:pPr>
              <w:jc w:val="center"/>
              <w:ind w:left="46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80" w:type="dxa"/>
            <w:vAlign w:val="bottom"/>
            <w:gridSpan w:val="3"/>
          </w:tcPr>
          <w:p>
            <w:pPr>
              <w:jc w:val="center"/>
              <w:ind w:left="509"/>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62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8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8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4"/>
                <w:szCs w:val="14"/>
                <w:color w:val="auto"/>
              </w:rPr>
            </w:pPr>
          </w:p>
        </w:tc>
        <w:tc>
          <w:tcPr>
            <w:tcW w:w="86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Pr>
          <w:p>
            <w:pPr>
              <w:spacing w:after="0"/>
              <w:rPr>
                <w:sz w:val="14"/>
                <w:szCs w:val="14"/>
                <w:color w:val="auto"/>
              </w:rPr>
            </w:pPr>
          </w:p>
        </w:tc>
        <w:tc>
          <w:tcPr>
            <w:tcW w:w="8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at Fair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132,632</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right="80"/>
        <w:spacing w:after="0" w:line="283" w:lineRule="auto"/>
        <w:rPr>
          <w:sz w:val="20"/>
          <w:szCs w:val="20"/>
          <w:color w:val="auto"/>
        </w:rPr>
      </w:pPr>
      <w:r>
        <w:rPr>
          <w:rFonts w:ascii="Times New Roman" w:cs="Times New Roman" w:eastAsia="Times New Roman" w:hAnsi="Times New Roman"/>
          <w:sz w:val="17"/>
          <w:szCs w:val="17"/>
          <w:color w:val="auto"/>
        </w:rPr>
        <w:t>The short-term investments represent investment in wealth management products issued by banks in the PRC with expected annualized return ranging from 2% to 3.35% per annum indexed to the performance of underlying assets. The wealth management products invested by the Group can be redeemed at any time after the respective lock up period. The Group designated them as financial assets at fair value through profit or loss.</w:t>
      </w:r>
    </w:p>
    <w:p>
      <w:pPr>
        <w:spacing w:after="0" w:line="159" w:lineRule="exact"/>
        <w:rPr>
          <w:sz w:val="20"/>
          <w:szCs w:val="20"/>
          <w:color w:val="auto"/>
        </w:rPr>
      </w:pPr>
    </w:p>
    <w:p>
      <w:pPr>
        <w:ind w:left="640" w:right="40"/>
        <w:spacing w:after="0" w:line="253" w:lineRule="auto"/>
        <w:rPr>
          <w:sz w:val="20"/>
          <w:szCs w:val="20"/>
          <w:color w:val="auto"/>
        </w:rPr>
      </w:pPr>
      <w:r>
        <w:rPr>
          <w:rFonts w:ascii="Times New Roman" w:cs="Times New Roman" w:eastAsia="Times New Roman" w:hAnsi="Times New Roman"/>
          <w:sz w:val="18"/>
          <w:szCs w:val="18"/>
          <w:color w:val="auto"/>
        </w:rPr>
        <w:t>To estimate the fair value of wealth management products, the Group values its wealth management products using alternative pricing sources and models utilizing market observables inputs at the end of each period using the discounted cash flow method. The Company classifies the valuation techniques that use these inputs as Level 2 of fair value measurement. For the years ended June 30, 2021 and 2022, the Company recorded gains or losses resulting from changes in the fair values of short-term investments in the line item “others, net” in the consolidated statements of operations and comprehensive loss.</w:t>
      </w:r>
    </w:p>
    <w:p>
      <w:pPr>
        <w:spacing w:after="0" w:line="330" w:lineRule="exact"/>
        <w:rPr>
          <w:sz w:val="20"/>
          <w:szCs w:val="20"/>
          <w:color w:val="auto"/>
        </w:rPr>
      </w:pPr>
    </w:p>
    <w:p>
      <w:pPr>
        <w:ind w:left="640" w:right="9280" w:hanging="441"/>
        <w:spacing w:after="0" w:line="393" w:lineRule="auto"/>
        <w:tabs>
          <w:tab w:leader="none" w:pos="632"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i w:val="1"/>
          <w:iCs w:val="1"/>
          <w:color w:val="auto"/>
        </w:rPr>
        <w:t>Cayman Islands</w:t>
      </w:r>
    </w:p>
    <w:p>
      <w:pPr>
        <w:ind w:left="640" w:right="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 Additionally, upon payments of dividends to the shareholders, no Cayman Islands withholding tax will be imposed.</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Subsidiaries in the BVI are exempted from income tax on its foreign-derived income in the BVI. There are no withholding taxes in the BVI.</w:t>
      </w:r>
    </w:p>
    <w:p>
      <w:pPr>
        <w:spacing w:after="0" w:line="1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60"/>
          </w:cols>
          <w:pgMar w:left="320" w:top="452" w:right="5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4"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Hong Kong profits tax rate is 16.5% up to April 1, 2018. When the two-tiered profits tax regime took effect on April 1, 2018, the applicable Hong Kong profits tax rate is 8.25% for assessable profits on the first HK$2 million and 16.5% for any assessable profits in excess of HK$2 million. During the years ended June 30, 2021 and 2022, Hong Kong profits tax was not provided as there were no taxable profits deriving from Hong Kong.</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114"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(“EIT Law”), the standard enterprise income tax rate is 25%. Entities qualifying as High and New Technology Enterprises (“HNTE”) qualify for a preferential tax rate of 15% subject to a requirement that they re-apply for HNTE status every three years. Beijing Feierlai qualified as a HNTE in the calendar year 2020 and is eligible for a preferential enterprise income tax rate of 15% as a “high and new technology enterprise” under the EIT Law in the calendar year 2020.</w:t>
      </w:r>
    </w:p>
    <w:p>
      <w:pPr>
        <w:spacing w:after="0" w:line="181"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the Company be treated as a resident enterprise for PRC tax purposes, the Company will be subject to PRC income tax on worldwide income at a uniform tax rate of 25%.</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Withholding tax on undistributed earnings</w:t>
      </w:r>
    </w:p>
    <w:p>
      <w:pPr>
        <w:spacing w:after="0" w:line="114" w:lineRule="exact"/>
        <w:rPr>
          <w:sz w:val="20"/>
          <w:szCs w:val="20"/>
          <w:color w:val="auto"/>
        </w:rPr>
      </w:pPr>
    </w:p>
    <w:p>
      <w:pPr>
        <w:ind w:left="640" w:right="40"/>
        <w:spacing w:after="0" w:line="249"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foreign investment enterprise (“FIE”) to its immediate holding company outside the PRC, if such immediate holding company is considered as a non-resident enterprise without any establishment or place within the PRC or if the received dividends have no connection with the establishment or place of such immediate holding company within the PRC, unless such immediate holding company’s jurisdiction of incorporation has a tax treaty with the PRC that provides for a different withholding arrangement. The Cayman Islands, where the Company is incorporated, does not have such tax treaty with the PRC. According to the arrangement between Mainland China and Hong Kong Special Administrative Region on the Avoidance of Double Taxation and Prevention of Fiscal Evasion in August 2006, dividends paid by an FIE in the PRC to its immediate holding company in Hong Kong will be subject to withholding tax at a rate of no more than 5%. As of June 30, 2021, and 2022, the Group did not record any withholding tax on undistributed earnings as the PRC entities were still in accumulated deficit position. To the extent that subsidiaries and the consolidated VIE (including its subsidiaries) of the Group have undistributed earnings, the Group will accrue appropriate expected withholding tax associated with repatriation of such undistributed earnings.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40"/>
          </w:cols>
          <w:pgMar w:left="320" w:top="452" w:right="5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component of income tax expenses of the Group for the years ended June 30, 2021 and 2022</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13"/>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4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4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reconciliation between the statutory EIT rate and the effective tax rates: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780" w:type="dxa"/>
            <w:vAlign w:val="bottom"/>
            <w:gridSpan w:val="1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 in PRC</w:t>
            </w:r>
          </w:p>
        </w:tc>
        <w:tc>
          <w:tcPr>
            <w:tcW w:w="118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Effect due to different tax rates applicable to HNTE entities</w:t>
            </w:r>
          </w:p>
        </w:tc>
        <w:tc>
          <w:tcPr>
            <w:tcW w:w="1180" w:type="dxa"/>
            <w:vAlign w:val="bottom"/>
            <w:gridSpan w:val="3"/>
          </w:tcPr>
          <w:p>
            <w:pPr>
              <w:jc w:val="right"/>
              <w:ind w:right="349"/>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180" w:type="dxa"/>
            <w:vAlign w:val="bottom"/>
            <w:gridSpan w:val="3"/>
            <w:shd w:val="clear" w:color="auto" w:fill="CCEEFF"/>
          </w:tcPr>
          <w:p>
            <w:pPr>
              <w:jc w:val="right"/>
              <w:ind w:right="289"/>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180" w:type="dxa"/>
            <w:vAlign w:val="bottom"/>
            <w:gridSpan w:val="3"/>
          </w:tcPr>
          <w:p>
            <w:pPr>
              <w:jc w:val="right"/>
              <w:ind w:right="289"/>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6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200" w:type="dxa"/>
            <w:vAlign w:val="bottom"/>
            <w:gridSpan w:val="4"/>
          </w:tcPr>
          <w:p>
            <w:pPr>
              <w:spacing w:after="0"/>
              <w:rPr>
                <w:sz w:val="12"/>
                <w:szCs w:val="12"/>
                <w:color w:val="auto"/>
              </w:rPr>
            </w:pPr>
          </w:p>
        </w:tc>
        <w:tc>
          <w:tcPr>
            <w:tcW w:w="620" w:type="dxa"/>
            <w:vAlign w:val="bottom"/>
            <w:tcBorders>
              <w:top w:val="single" w:sz="8" w:color="auto"/>
            </w:tcBorders>
            <w:gridSpan w:val="2"/>
          </w:tcPr>
          <w:p>
            <w:pPr>
              <w:jc w:val="right"/>
              <w:ind w:right="10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8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Allowances of credit losses</w:t>
            </w: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Deductible temporary difference related to advertising expenses</w:t>
            </w:r>
          </w:p>
        </w:tc>
        <w:tc>
          <w:tcPr>
            <w:tcW w:w="1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tax losses carried forward</w:t>
            </w:r>
          </w:p>
        </w:tc>
        <w:tc>
          <w:tcPr>
            <w:tcW w:w="1200" w:type="dxa"/>
            <w:vAlign w:val="bottom"/>
            <w:gridSpan w:val="4"/>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84,406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0" w:type="dxa"/>
            <w:vAlign w:val="bottom"/>
            <w:gridSpan w:val="4"/>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(65,235)</w:t>
            </w:r>
          </w:p>
        </w:tc>
        <w:tc>
          <w:tcPr>
            <w:tcW w:w="8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(84,406)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480" w:type="dxa"/>
            <w:vAlign w:val="bottom"/>
            <w:gridSpan w:val="5"/>
          </w:tcPr>
          <w:p>
            <w:pPr>
              <w:spacing w:after="0"/>
              <w:rPr>
                <w:sz w:val="12"/>
                <w:szCs w:val="12"/>
                <w:color w:val="auto"/>
              </w:rPr>
            </w:pPr>
          </w:p>
        </w:tc>
        <w:tc>
          <w:tcPr>
            <w:tcW w:w="360" w:type="dxa"/>
            <w:vAlign w:val="bottom"/>
            <w:tcBorders>
              <w:top w:val="single" w:sz="8" w:color="auto"/>
            </w:tcBorders>
            <w:gridSpan w:val="2"/>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6"/>
          </w:tcPr>
          <w:p>
            <w:pPr>
              <w:jc w:val="center"/>
              <w:ind w:left="37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gridSpan w:val="3"/>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gridSpan w:val="4"/>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480" w:type="dxa"/>
            <w:vAlign w:val="bottom"/>
            <w:gridSpan w:val="5"/>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9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F-41</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60"/>
        <w:spacing w:after="0" w:line="261" w:lineRule="auto"/>
        <w:rPr>
          <w:sz w:val="20"/>
          <w:szCs w:val="20"/>
          <w:color w:val="auto"/>
        </w:rPr>
      </w:pPr>
      <w:r>
        <w:rPr>
          <w:rFonts w:ascii="Times New Roman" w:cs="Times New Roman" w:eastAsia="Times New Roman" w:hAnsi="Times New Roman"/>
          <w:sz w:val="18"/>
          <w:szCs w:val="18"/>
          <w:color w:val="auto"/>
        </w:rPr>
        <w:t>The tax losses of the Group expire over different time intervals depending on the local jurisdiction. All the entity’s expiration periods for tax losses were five years. As of June 30, 2022, certain entities of the Group had net operating tax losses carried forward, which if not utilized, will expire as follows:</w:t>
      </w:r>
    </w:p>
    <w:p>
      <w:pPr>
        <w:sectPr>
          <w:pgSz w:w="11900" w:h="16838" w:orient="portrait"/>
          <w:cols w:equalWidth="0" w:num="1">
            <w:col w:w="11060"/>
          </w:cols>
          <w:pgMar w:left="320" w:top="452" w:right="5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Loss expiring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-111760</wp:posOffset>
            </wp:positionV>
            <wp:extent cx="6610985" cy="135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10985" cy="135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Loss expiring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10160</wp:posOffset>
            </wp:positionV>
            <wp:extent cx="6610985" cy="135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610985" cy="135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Loss expiring for the year ended December 31, 2024</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Loss expiring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10160</wp:posOffset>
            </wp:positionV>
            <wp:extent cx="6610985" cy="135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10985" cy="135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Loss expiring for the year ended December 31, 2026</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6350</wp:posOffset>
            </wp:positionV>
            <wp:extent cx="4305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4"/>
          <w:szCs w:val="14"/>
          <w:b w:val="1"/>
          <w:bCs w:val="1"/>
          <w:color w:val="auto"/>
        </w:rPr>
        <w:t>RMB</w:t>
      </w: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w:t>
      </w:r>
    </w:p>
    <w:p>
      <w:pPr>
        <w:spacing w:after="0" w:line="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1,010</w:t>
      </w:r>
    </w:p>
    <w:p>
      <w:pPr>
        <w:spacing w:after="0" w:line="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193,455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10160</wp:posOffset>
            </wp:positionV>
            <wp:extent cx="4305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194,471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24130</wp:posOffset>
            </wp:positionV>
            <wp:extent cx="4305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053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40640</wp:posOffset>
            </wp:positionV>
            <wp:extent cx="4305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80" w:space="720"/>
            <w:col w:w="660"/>
          </w:cols>
          <w:pgMar w:left="320" w:top="452" w:right="519" w:bottom="1440" w:gutter="0" w:footer="0" w:header="0"/>
          <w:type w:val="continuous"/>
        </w:sectPr>
      </w:pPr>
    </w:p>
    <w:p>
      <w:pPr>
        <w:spacing w:after="0" w:line="74" w:lineRule="exact"/>
        <w:rPr>
          <w:sz w:val="20"/>
          <w:szCs w:val="20"/>
          <w:color w:val="auto"/>
        </w:rPr>
      </w:pPr>
    </w:p>
    <w:p>
      <w:pPr>
        <w:ind w:left="640" w:right="80"/>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 likely than not that the deferred tax assets will not be utilized in the future. In making such determination, the Group evaluates a variety of factors including the Group’s operating history, accumulated equity, existence of taxable temporary differences and reversal periods.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Changes in valuation allowance are as follows:</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760" w:type="dxa"/>
            <w:vAlign w:val="bottom"/>
          </w:tcPr>
          <w:p>
            <w:pPr>
              <w:ind w:left="22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spacing w:after="0"/>
              <w:rPr>
                <w:sz w:val="12"/>
                <w:szCs w:val="12"/>
                <w:color w:val="auto"/>
              </w:rPr>
            </w:pPr>
          </w:p>
        </w:tc>
        <w:tc>
          <w:tcPr>
            <w:tcW w:w="780" w:type="dxa"/>
            <w:vAlign w:val="bottom"/>
          </w:tcPr>
          <w:p>
            <w:pPr>
              <w:ind w:left="22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shd w:val="clear" w:color="auto" w:fill="CCEEFF"/>
          </w:tcPr>
          <w:p>
            <w:pPr>
              <w:jc w:val="right"/>
              <w:ind w:right="5731"/>
              <w:spacing w:after="0"/>
              <w:rPr>
                <w:sz w:val="20"/>
                <w:szCs w:val="20"/>
                <w:color w:val="auto"/>
              </w:rPr>
            </w:pPr>
            <w:r>
              <w:rPr>
                <w:rFonts w:ascii="Times New Roman" w:cs="Times New Roman" w:eastAsia="Times New Roman" w:hAnsi="Times New Roman"/>
                <w:sz w:val="18"/>
                <w:szCs w:val="18"/>
                <w:color w:val="auto"/>
                <w:w w:val="96"/>
              </w:rPr>
              <w:t>Balance at beginning of the year</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(5,693)</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(65,235)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tcPr>
          <w:p>
            <w:pPr>
              <w:jc w:val="right"/>
              <w:ind w:right="6191"/>
              <w:spacing w:after="0"/>
              <w:rPr>
                <w:sz w:val="20"/>
                <w:szCs w:val="20"/>
                <w:color w:val="auto"/>
              </w:rPr>
            </w:pPr>
            <w:r>
              <w:rPr>
                <w:rFonts w:ascii="Times New Roman" w:cs="Times New Roman" w:eastAsia="Times New Roman" w:hAnsi="Times New Roman"/>
                <w:sz w:val="18"/>
                <w:szCs w:val="18"/>
                <w:color w:val="auto"/>
              </w:rPr>
              <w:t>(Additions)/Reversal</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(59,542)</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100" w:type="dxa"/>
            <w:vAlign w:val="bottom"/>
            <w:shd w:val="clear" w:color="auto" w:fill="CCEEFF"/>
          </w:tcPr>
          <w:p>
            <w:pPr>
              <w:jc w:val="right"/>
              <w:ind w:right="6191"/>
              <w:spacing w:after="0"/>
              <w:rPr>
                <w:sz w:val="20"/>
                <w:szCs w:val="20"/>
                <w:color w:val="auto"/>
              </w:rPr>
            </w:pPr>
            <w:r>
              <w:rPr>
                <w:rFonts w:ascii="Times New Roman" w:cs="Times New Roman" w:eastAsia="Times New Roman" w:hAnsi="Times New Roman"/>
                <w:sz w:val="18"/>
                <w:szCs w:val="18"/>
                <w:color w:val="auto"/>
                <w:w w:val="96"/>
              </w:rPr>
              <w:t>Balance at end of the year</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(65,235)</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(84,406)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right="80"/>
        <w:spacing w:after="0" w:line="261" w:lineRule="auto"/>
        <w:rPr>
          <w:sz w:val="20"/>
          <w:szCs w:val="20"/>
          <w:color w:val="auto"/>
        </w:rPr>
      </w:pPr>
      <w:r>
        <w:rPr>
          <w:rFonts w:ascii="Times New Roman" w:cs="Times New Roman" w:eastAsia="Times New Roman" w:hAnsi="Times New Roman"/>
          <w:sz w:val="18"/>
          <w:szCs w:val="18"/>
          <w:color w:val="auto"/>
        </w:rPr>
        <w:t>The major jurisdiction in which the Group is subject to potential examination is the PRC. In general, the PRC tax authorities have up to five years and in certain cases up to ten years to conduct examinations of the tax filings of the Group. All these related tax years remain subject to examination by the PRC tax authorities potentially.</w:t>
      </w:r>
    </w:p>
    <w:p>
      <w:pPr>
        <w:spacing w:after="0" w:line="320" w:lineRule="exact"/>
        <w:rPr>
          <w:sz w:val="20"/>
          <w:szCs w:val="20"/>
          <w:color w:val="auto"/>
        </w:rPr>
      </w:pPr>
    </w:p>
    <w:p>
      <w:pPr>
        <w:ind w:left="20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13.</w:t>
        <w:tab/>
        <w:t>Others, net</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2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8160" w:type="dxa"/>
            <w:vAlign w:val="bottom"/>
          </w:tcPr>
          <w:p>
            <w:pPr>
              <w:spacing w:after="0"/>
              <w:rPr>
                <w:sz w:val="12"/>
                <w:szCs w:val="12"/>
                <w:color w:val="auto"/>
              </w:rPr>
            </w:pPr>
          </w:p>
        </w:tc>
        <w:tc>
          <w:tcPr>
            <w:tcW w:w="760" w:type="dxa"/>
            <w:vAlign w:val="bottom"/>
            <w:tcBorders>
              <w:top w:val="single" w:sz="8" w:color="auto"/>
            </w:tcBorders>
          </w:tcPr>
          <w:p>
            <w:pPr>
              <w:ind w:left="22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440" w:type="dxa"/>
            <w:vAlign w:val="bottom"/>
            <w:tcBorders>
              <w:top w:val="single" w:sz="8" w:color="auto"/>
            </w:tcBorders>
            <w:gridSpan w:val="2"/>
          </w:tcPr>
          <w:p>
            <w:pPr>
              <w:jc w:val="right"/>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8160" w:type="dxa"/>
            <w:vAlign w:val="bottom"/>
          </w:tcPr>
          <w:p>
            <w:pPr>
              <w:spacing w:after="0"/>
              <w:rPr>
                <w:sz w:val="12"/>
                <w:szCs w:val="12"/>
                <w:color w:val="auto"/>
              </w:rPr>
            </w:pPr>
          </w:p>
        </w:tc>
        <w:tc>
          <w:tcPr>
            <w:tcW w:w="760" w:type="dxa"/>
            <w:vAlign w:val="bottom"/>
            <w:tcBorders>
              <w:top w:val="single" w:sz="8" w:color="auto"/>
            </w:tcBorders>
          </w:tcPr>
          <w:p>
            <w:pPr>
              <w:ind w:left="2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Pr>
          <w:p>
            <w:pPr>
              <w:spacing w:after="0"/>
              <w:rPr>
                <w:sz w:val="12"/>
                <w:szCs w:val="12"/>
                <w:color w:val="auto"/>
              </w:rPr>
            </w:pPr>
          </w:p>
        </w:tc>
        <w:tc>
          <w:tcPr>
            <w:tcW w:w="780" w:type="dxa"/>
            <w:vAlign w:val="bottom"/>
            <w:tcBorders>
              <w:top w:val="single" w:sz="8" w:color="auto"/>
            </w:tcBorders>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r>
      <w:tr>
        <w:trPr>
          <w:trHeight w:val="21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60" w:type="dxa"/>
            <w:vAlign w:val="bottom"/>
          </w:tcPr>
          <w:p>
            <w:pPr>
              <w:spacing w:after="0"/>
              <w:rPr>
                <w:sz w:val="18"/>
                <w:szCs w:val="18"/>
                <w:color w:val="auto"/>
              </w:rPr>
            </w:pPr>
          </w:p>
        </w:tc>
      </w:tr>
      <w:tr>
        <w:trPr>
          <w:trHeight w:val="21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60" w:type="dxa"/>
            <w:vAlign w:val="bottom"/>
            <w:shd w:val="clear" w:color="auto" w:fill="CCEEFF"/>
          </w:tcPr>
          <w:p>
            <w:pPr>
              <w:spacing w:after="0"/>
              <w:rPr>
                <w:sz w:val="18"/>
                <w:szCs w:val="18"/>
                <w:color w:val="auto"/>
              </w:rPr>
            </w:pPr>
          </w:p>
        </w:tc>
      </w:tr>
      <w:tr>
        <w:trPr>
          <w:trHeight w:val="21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19,913</w:t>
            </w:r>
          </w:p>
        </w:tc>
        <w:tc>
          <w:tcPr>
            <w:tcW w:w="6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620" w:hanging="421"/>
        <w:spacing w:after="0"/>
        <w:tabs>
          <w:tab w:leader="none" w:pos="6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expenses</w:t>
      </w:r>
    </w:p>
    <w:p>
      <w:pPr>
        <w:spacing w:after="0" w:line="114" w:lineRule="exact"/>
        <w:rPr>
          <w:rFonts w:ascii="Times New Roman" w:cs="Times New Roman" w:eastAsia="Times New Roman" w:hAnsi="Times New Roman"/>
          <w:sz w:val="18"/>
          <w:szCs w:val="18"/>
          <w:b w:val="1"/>
          <w:bCs w:val="1"/>
          <w:color w:val="auto"/>
        </w:rPr>
      </w:pPr>
    </w:p>
    <w:p>
      <w:pPr>
        <w:ind w:left="640" w:right="5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 based compensation expenses for periods prior to the Reorganization were related to the share options or restricted shares granted by Predecessors to the employees, management and the founders. For the years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60"/>
          </w:cols>
          <w:pgMar w:left="320" w:top="452" w:right="51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780"/>
        <w:spacing w:after="0" w:line="275" w:lineRule="auto"/>
        <w:rPr>
          <w:sz w:val="20"/>
          <w:szCs w:val="20"/>
          <w:color w:val="auto"/>
        </w:rPr>
      </w:pPr>
      <w:r>
        <w:rPr>
          <w:rFonts w:ascii="Times New Roman" w:cs="Times New Roman" w:eastAsia="Times New Roman" w:hAnsi="Times New Roman"/>
          <w:sz w:val="18"/>
          <w:szCs w:val="18"/>
          <w:color w:val="auto"/>
        </w:rPr>
        <w:t>ended June 30, 2021 and 2022, total share based compensation expenses that pushed down to the Company from the Predecessors, were RMB101,830 and RMB100,988, respectively.</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2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8200" w:type="dxa"/>
            <w:vAlign w:val="bottom"/>
          </w:tcPr>
          <w:p>
            <w:pPr>
              <w:spacing w:after="0"/>
              <w:rPr>
                <w:sz w:val="12"/>
                <w:szCs w:val="12"/>
                <w:color w:val="auto"/>
              </w:rPr>
            </w:pPr>
          </w:p>
        </w:tc>
        <w:tc>
          <w:tcPr>
            <w:tcW w:w="780" w:type="dxa"/>
            <w:vAlign w:val="bottom"/>
            <w:tcBorders>
              <w:top w:val="single" w:sz="8" w:color="auto"/>
            </w:tcBorders>
          </w:tcPr>
          <w:p>
            <w:pPr>
              <w:jc w:val="right"/>
              <w:ind w:right="17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top w:val="single" w:sz="8" w:color="auto"/>
            </w:tcBorders>
            <w:gridSpan w:val="2"/>
          </w:tcPr>
          <w:p>
            <w:pPr>
              <w:jc w:val="right"/>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820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Share options issued by Predecessors to employees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100,629</w:t>
            </w:r>
          </w:p>
        </w:tc>
        <w:tc>
          <w:tcPr>
            <w:tcW w:w="60" w:type="dxa"/>
            <w:vAlign w:val="bottom"/>
            <w:shd w:val="clear" w:color="auto" w:fill="CCEEFF"/>
          </w:tcPr>
          <w:p>
            <w:pPr>
              <w:spacing w:after="0"/>
              <w:rPr>
                <w:sz w:val="18"/>
                <w:szCs w:val="18"/>
                <w:color w:val="auto"/>
              </w:rPr>
            </w:pPr>
          </w:p>
        </w:tc>
      </w:tr>
      <w:tr>
        <w:trPr>
          <w:trHeight w:val="21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(b) Share options issued by Company to employees</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190,370</w:t>
            </w:r>
          </w:p>
        </w:tc>
        <w:tc>
          <w:tcPr>
            <w:tcW w:w="60" w:type="dxa"/>
            <w:vAlign w:val="bottom"/>
          </w:tcPr>
          <w:p>
            <w:pPr>
              <w:spacing w:after="0"/>
              <w:rPr>
                <w:sz w:val="18"/>
                <w:szCs w:val="18"/>
                <w:color w:val="auto"/>
              </w:rPr>
            </w:pPr>
          </w:p>
        </w:tc>
      </w:tr>
      <w:tr>
        <w:trPr>
          <w:trHeight w:val="21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Restriction of ordinary shares held by the Founder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18"/>
                <w:szCs w:val="18"/>
                <w:color w:val="auto"/>
              </w:rPr>
            </w:pPr>
          </w:p>
        </w:tc>
      </w:tr>
      <w:tr>
        <w:trPr>
          <w:trHeight w:val="219"/>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101,830</w:t>
            </w:r>
          </w:p>
        </w:tc>
        <w:tc>
          <w:tcPr>
            <w:tcW w:w="5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291,429</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ind w:left="620" w:hanging="421"/>
        <w:spacing w:after="0"/>
        <w:tabs>
          <w:tab w:leader="none" w:pos="62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 issued by the Predecessors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April 23, 2018, WN adopted the 2018 WN Share Incentive Plan (the “2018 WN Plan”), whereby the maximum aggregate number of ordinary shares that can be issued under the 2018 WN Plan was 22,317,118 shares.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From July 1, 2018 to April 1, 2021, WN granted several batches of options to employees pursuant to the 2018 WN Plan. These options were to be vested in four equal installments, with 25% of the total options becoming vested on each of the first, second, third and fourth anniversary of the vesting commencement date with certain performance conditions including completion of an IPO (the “IPO condition”).</w:t>
      </w:r>
    </w:p>
    <w:p>
      <w:pPr>
        <w:spacing w:after="0" w:line="69" w:lineRule="exact"/>
        <w:rPr>
          <w:rFonts w:ascii="Times New Roman" w:cs="Times New Roman" w:eastAsia="Times New Roman" w:hAnsi="Times New Roman"/>
          <w:sz w:val="18"/>
          <w:szCs w:val="18"/>
          <w:b w:val="1"/>
          <w:bCs w:val="1"/>
          <w:i w:val="1"/>
          <w:iCs w:val="1"/>
          <w:color w:val="auto"/>
        </w:rPr>
      </w:pPr>
    </w:p>
    <w:p>
      <w:pPr>
        <w:ind w:left="640" w:right="4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2021, EW adopted the 2021 EW Global Share Plan (the “2021 EW Plan”), whereby the maximum aggregate number of ordinary shares that can be issued under the 2021 EW Plan was 21,717,118 shares.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2021, in connection with the Step 1 Reorganization, the outstanding share options of WN were replaced by the options issued by EW under the 2021 EW Plan, with the IPO condition removed, which was accounted for as a modification. In accordance with ASC 718, such modification was a Type III modification because the original condition is not expected to be satisfied as of the modification date. The incremental fair value of the 14,358,812 shares options is equal to the fair value of the modified awards amounting to RMB253,673. The Group recognized the incremental value for vested awards amounting to RMB35,617 on May 31, 2021 and the incremental value for unvested awards over the remaining vesting period.</w:t>
      </w:r>
    </w:p>
    <w:p>
      <w:pPr>
        <w:spacing w:after="0" w:line="78" w:lineRule="exact"/>
        <w:rPr>
          <w:rFonts w:ascii="Times New Roman" w:cs="Times New Roman" w:eastAsia="Times New Roman" w:hAnsi="Times New Roman"/>
          <w:sz w:val="18"/>
          <w:szCs w:val="18"/>
          <w:b w:val="1"/>
          <w:bCs w:val="1"/>
          <w:i w:val="1"/>
          <w:iCs w:val="1"/>
          <w:color w:val="auto"/>
        </w:rPr>
      </w:pPr>
    </w:p>
    <w:p>
      <w:pPr>
        <w:ind w:left="64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From July 1, 2021 to May 31, 2022, EW granted several batches of options to employees pursuant to the 2021 EW Plan. These options were to be vested in four equal installments, with 25% of the total options becoming vested on each of the first, second, third and fourth anniversary of the vesting commencement date with certain performance conditions.</w:t>
      </w:r>
    </w:p>
    <w:p>
      <w:pPr>
        <w:spacing w:after="0" w:line="31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 issued by the Company</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6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2022, the Company adopted the 2021 Global Share Plan (the “2021 Plan”), whereby the maximum aggregate number of ordinary shares that can be issued under the 2021 Plan was 21,717,118 shares.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16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On May 31, 2022, in connection with the Step 2 Reorganization, the outstanding share options of EW were replaced by the options issued by the Company under the 2021 Plan. As the options issued by EW did not contain a mandatory equitable adjustment provision, the value of the EW awards immediately before the modification declined significantly, and the modification resulted in incremental fair value because the fair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60"/>
          </w:cols>
          <w:pgMar w:left="320" w:top="452"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00"/>
        <w:spacing w:after="0" w:line="251" w:lineRule="auto"/>
        <w:rPr>
          <w:sz w:val="20"/>
          <w:szCs w:val="20"/>
          <w:color w:val="auto"/>
        </w:rPr>
      </w:pPr>
      <w:r>
        <w:rPr>
          <w:rFonts w:ascii="Times New Roman" w:cs="Times New Roman" w:eastAsia="Times New Roman" w:hAnsi="Times New Roman"/>
          <w:sz w:val="18"/>
          <w:szCs w:val="18"/>
          <w:color w:val="auto"/>
        </w:rPr>
        <w:t>value immediately after modification reflected the new equitable adjustments to the award’s terms, which increased its value relative to the EW award that were not adjusted. Thus the modification did not meet the scope exception of modification accounting under ASC 718, and since the options either contained service condition only, or contained performance condition that is considered probable to be satisfied, such modification was accounted for as a Type I probable-to-probable modification, and the compensation cost was recognized based on the original grant-date fair value of the EW award plus the incremental fair value resulting from the modification. The Group recognized the incremental value for vested awards amounting to RMB117,520 on May 31, 2022, which was reflected in the financial statements for the quarter ended June 30, 2022, and the incremental value for unvested awards over the remaining vesting period.</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activities of share options of the Predecessors and the Company for the years ended June 30, 2021 and 2022 is presented below:</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40" w:type="dxa"/>
            <w:vAlign w:val="bottom"/>
          </w:tcPr>
          <w:p>
            <w:pPr>
              <w:spacing w:after="0"/>
              <w:rPr>
                <w:sz w:val="12"/>
                <w:szCs w:val="12"/>
                <w:color w:val="auto"/>
              </w:rPr>
            </w:pPr>
          </w:p>
        </w:tc>
        <w:tc>
          <w:tcPr>
            <w:tcW w:w="8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30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Value (RMB)</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5,303,958</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0.0197</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10,984,915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0.4259</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(1,370,061)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0.1156</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14,318,812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0.3229</w:t>
            </w: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4,679,469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0.0669</w:t>
            </w: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1,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14,318,812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2,958,000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0.8000</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(1,566,500)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0.5841</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15,710,312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0.3861</w:t>
            </w: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7,478,922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0.2041</w:t>
            </w:r>
          </w:p>
        </w:tc>
        <w:tc>
          <w:tcPr>
            <w:tcW w:w="4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40" w:right="140"/>
        <w:spacing w:after="0" w:line="275" w:lineRule="auto"/>
        <w:rPr>
          <w:sz w:val="20"/>
          <w:szCs w:val="20"/>
          <w:color w:val="auto"/>
        </w:rPr>
      </w:pPr>
      <w:r>
        <w:rPr>
          <w:rFonts w:ascii="Times New Roman" w:cs="Times New Roman" w:eastAsia="Times New Roman" w:hAnsi="Times New Roman"/>
          <w:sz w:val="18"/>
          <w:szCs w:val="18"/>
          <w:color w:val="auto"/>
        </w:rPr>
        <w:t>There were 10,984,915 and 2,298,000 options granted for the years ended June 30, 2021 and 2022. The weighted average grant date fair value of options granted for the years ended June 30, 2021 and 2022 were US$0.78 and US$2.56 per share, respectively.</w:t>
      </w:r>
    </w:p>
    <w:p>
      <w:pPr>
        <w:spacing w:after="0" w:line="58" w:lineRule="exact"/>
        <w:rPr>
          <w:sz w:val="20"/>
          <w:szCs w:val="20"/>
          <w:color w:val="auto"/>
        </w:rPr>
      </w:pPr>
    </w:p>
    <w:p>
      <w:pPr>
        <w:ind w:left="640" w:right="500"/>
        <w:spacing w:after="0" w:line="256" w:lineRule="auto"/>
        <w:rPr>
          <w:sz w:val="20"/>
          <w:szCs w:val="20"/>
          <w:color w:val="auto"/>
        </w:rPr>
      </w:pPr>
      <w:r>
        <w:rPr>
          <w:rFonts w:ascii="Times New Roman" w:cs="Times New Roman" w:eastAsia="Times New Roman" w:hAnsi="Times New Roman"/>
          <w:sz w:val="18"/>
          <w:szCs w:val="18"/>
          <w:color w:val="auto"/>
        </w:rPr>
        <w:t>For the years ended June 30, 2021 and 2022, share-based compensation expenses recognized associated with share options granted by the Predecessors to employees of the Listing Businesses and allocated to the Company were RMB91,907 and RMB100,629. For the year ended June 30, 2022, share-based compensation expenses recognized associated with share options granted to employees by the Company were RMB190,370.</w:t>
      </w:r>
    </w:p>
    <w:p>
      <w:pPr>
        <w:spacing w:after="0" w:line="74" w:lineRule="exact"/>
        <w:rPr>
          <w:sz w:val="20"/>
          <w:szCs w:val="20"/>
          <w:color w:val="auto"/>
        </w:rPr>
      </w:pPr>
    </w:p>
    <w:p>
      <w:pPr>
        <w:ind w:left="640" w:right="40"/>
        <w:spacing w:after="0" w:line="251" w:lineRule="auto"/>
        <w:rPr>
          <w:sz w:val="20"/>
          <w:szCs w:val="20"/>
          <w:color w:val="auto"/>
        </w:rPr>
      </w:pPr>
      <w:r>
        <w:rPr>
          <w:rFonts w:ascii="Times New Roman" w:cs="Times New Roman" w:eastAsia="Times New Roman" w:hAnsi="Times New Roman"/>
          <w:sz w:val="18"/>
          <w:szCs w:val="18"/>
          <w:color w:val="auto"/>
        </w:rPr>
        <w:t>On May 31, 2022, the Company granted 510,500 share options to employees of the Group’s related parties controlled by the same shareholders with the Company under the 2021 Plan, to replace their outstanding EW share options. As of June 30, 2022, 510,500 share options of the Company were held by the employees of the Group’s related parties with the weighted average exercise price of US$0.66 per option and weighted average remaining contractual years of 8.71 years, out of which 121,750 options were vested and exercisable with the weighted average exercise price of US$0.56 per option and weighted average remaining contractual years of 8.45 years. The aggregate intrinsic value of the outstanding options and exercisable options as of June 30, 2022 are RMB10,306 and RMB2,539 respectively. The share awards were measured based on the fair value as of May 31, 2022. The share options granted to employees of the Group’s related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60"/>
          </w:cols>
          <w:pgMar w:left="320" w:top="452" w:right="5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360"/>
        <w:spacing w:after="0" w:line="275" w:lineRule="auto"/>
        <w:rPr>
          <w:sz w:val="20"/>
          <w:szCs w:val="20"/>
          <w:color w:val="auto"/>
        </w:rPr>
      </w:pPr>
      <w:r>
        <w:rPr>
          <w:rFonts w:ascii="Times New Roman" w:cs="Times New Roman" w:eastAsia="Times New Roman" w:hAnsi="Times New Roman"/>
          <w:sz w:val="18"/>
          <w:szCs w:val="18"/>
          <w:color w:val="auto"/>
        </w:rPr>
        <w:t>parties were accounted for as deemed dividend from the Company to its shareholders, as these employees of the related parties do not provide services to the Company. The amount recognized as deemed dividend was RMB10,365 for the years ended June 30, 2022.</w:t>
      </w:r>
    </w:p>
    <w:p>
      <w:pPr>
        <w:spacing w:after="0" w:line="58" w:lineRule="exact"/>
        <w:rPr>
          <w:sz w:val="20"/>
          <w:szCs w:val="20"/>
          <w:color w:val="auto"/>
        </w:rPr>
      </w:pPr>
    </w:p>
    <w:p>
      <w:pPr>
        <w:ind w:left="640" w:right="340"/>
        <w:spacing w:after="0" w:line="261" w:lineRule="auto"/>
        <w:rPr>
          <w:sz w:val="20"/>
          <w:szCs w:val="20"/>
          <w:color w:val="auto"/>
        </w:rPr>
      </w:pPr>
      <w:r>
        <w:rPr>
          <w:rFonts w:ascii="Times New Roman" w:cs="Times New Roman" w:eastAsia="Times New Roman" w:hAnsi="Times New Roman"/>
          <w:sz w:val="18"/>
          <w:szCs w:val="18"/>
          <w:color w:val="auto"/>
        </w:rPr>
        <w:t>As of June 30, 2021, and 2022, there were RMB164,630 and RMB227,395 of unrecognized share-based compensation expenses related to the share options granted. The expenses are expected to be recognized over a weighted-average period of 2.70 years and 2.39 years and may be adjusted for future change in forfeitures.</w:t>
      </w:r>
    </w:p>
    <w:p>
      <w:pPr>
        <w:spacing w:after="0" w:line="69" w:lineRule="exact"/>
        <w:rPr>
          <w:sz w:val="20"/>
          <w:szCs w:val="20"/>
          <w:color w:val="auto"/>
        </w:rPr>
      </w:pPr>
    </w:p>
    <w:p>
      <w:pPr>
        <w:ind w:left="640" w:right="560"/>
        <w:spacing w:after="0" w:line="275" w:lineRule="auto"/>
        <w:rPr>
          <w:sz w:val="20"/>
          <w:szCs w:val="20"/>
          <w:color w:val="auto"/>
        </w:rPr>
      </w:pPr>
      <w:r>
        <w:rPr>
          <w:rFonts w:ascii="Times New Roman" w:cs="Times New Roman" w:eastAsia="Times New Roman" w:hAnsi="Times New Roman"/>
          <w:sz w:val="18"/>
          <w:szCs w:val="18"/>
          <w:color w:val="auto"/>
        </w:rPr>
        <w:t>The estimated fair value of each option grant is estimated on the date of grant using the Binominal option-pricing model with the following assumptions: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6"/>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44.00%-52.18%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44.04%-45.32%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0.69%-1.69%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 grants (US$)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0.50-2.80</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right="40"/>
        <w:spacing w:after="0" w:line="253" w:lineRule="auto"/>
        <w:rPr>
          <w:sz w:val="20"/>
          <w:szCs w:val="20"/>
          <w:color w:val="auto"/>
        </w:rPr>
      </w:pPr>
      <w:r>
        <w:rPr>
          <w:rFonts w:ascii="Times New Roman" w:cs="Times New Roman" w:eastAsia="Times New Roman" w:hAnsi="Times New Roman"/>
          <w:sz w:val="18"/>
          <w:szCs w:val="18"/>
          <w:color w:val="auto"/>
        </w:rPr>
        <w:t>The use of a valuation model requires the Company to make certain assumptions of Predecessors with respect to selected model inputs. The expected volatility is calculated based on the annualized standard deviation of the daily return embedded in historical share prices of comparable companies. The risk-free interest rate is estimated based on the yield to maturity of US treasury bonds based on the expected term of the incentive shares. Predecessors has not declared or paid any cash dividends on its capital stock and does not anticipate any dividend payments on its ordinary shares in the foreseeable future.</w:t>
      </w:r>
    </w:p>
    <w:p>
      <w:pPr>
        <w:spacing w:after="0" w:line="328" w:lineRule="exact"/>
        <w:rPr>
          <w:sz w:val="20"/>
          <w:szCs w:val="20"/>
          <w:color w:val="auto"/>
        </w:rPr>
      </w:pPr>
    </w:p>
    <w:p>
      <w:pPr>
        <w:ind w:left="620" w:hanging="421"/>
        <w:spacing w:after="0"/>
        <w:tabs>
          <w:tab w:leader="none" w:pos="620" w:val="left"/>
        </w:tabs>
        <w:numPr>
          <w:ilvl w:val="0"/>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Restriction of ordinary shares held by the Founder</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April 25, 2017, in connection with Series A preferred shares purchase agreement of Witty network, Witty Time limited (“Founder Co.”) and its three shareholders, the Founder of the Group and two co-founders, entered into a restricted share agreement with Witty network, agreed to place all of their 63,000,200 ordinary shares into escrow to be released back to them only if specified service criteria are met (the “Restricted Shares”). 25% of the Restricted Shares shall be vested after the first anniversary of April 25, 2017, and the remaining 75% of the Restricted Shares shall be vested annually in equal installments over the next three years.</w:t>
      </w:r>
    </w:p>
    <w:p>
      <w:pPr>
        <w:spacing w:after="0" w:line="79" w:lineRule="exact"/>
        <w:rPr>
          <w:rFonts w:ascii="Times New Roman" w:cs="Times New Roman" w:eastAsia="Times New Roman" w:hAnsi="Times New Roman"/>
          <w:sz w:val="18"/>
          <w:szCs w:val="18"/>
          <w:b w:val="1"/>
          <w:bCs w:val="1"/>
          <w:i w:val="1"/>
          <w:iCs w:val="1"/>
          <w:color w:val="auto"/>
        </w:rPr>
      </w:pPr>
    </w:p>
    <w:p>
      <w:pPr>
        <w:ind w:left="640" w:right="640"/>
        <w:spacing w:after="0" w:line="30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Before April 25, 2018, two co-founders no longer served Witty network and therefore the initial grant of shares has been forfeited. All the 20,353,910 Restricted Shares granted to the two co-founders were repurchased by Witty network, at the price of US$0.0001 per share.</w:t>
      </w:r>
    </w:p>
    <w:p>
      <w:pPr>
        <w:spacing w:after="0" w:line="34" w:lineRule="exact"/>
        <w:rPr>
          <w:rFonts w:ascii="Times New Roman" w:cs="Times New Roman" w:eastAsia="Times New Roman" w:hAnsi="Times New Roman"/>
          <w:sz w:val="18"/>
          <w:szCs w:val="18"/>
          <w:b w:val="1"/>
          <w:bCs w:val="1"/>
          <w:i w:val="1"/>
          <w:iCs w:val="1"/>
          <w:color w:val="auto"/>
        </w:rPr>
      </w:pPr>
    </w:p>
    <w:p>
      <w:pPr>
        <w:ind w:left="640" w:right="3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April 25, 2018, Witty network granted 13,036,792 Ordinary Shares to Founder Co. which is owned by the Founder, for which 25% became vested immediately, and the remaining shall vest every year thereafter in three equal installments. As such, 55,683,082 Restricted Shares were granted to the Founder, of which 25% were vested on April 25, 2018, and the remaining 75% shall vest every year thereafter in three equal installments.</w:t>
      </w:r>
    </w:p>
    <w:p>
      <w:pPr>
        <w:spacing w:after="0" w:line="74" w:lineRule="exact"/>
        <w:rPr>
          <w:rFonts w:ascii="Times New Roman" w:cs="Times New Roman" w:eastAsia="Times New Roman" w:hAnsi="Times New Roman"/>
          <w:sz w:val="18"/>
          <w:szCs w:val="18"/>
          <w:b w:val="1"/>
          <w:bCs w:val="1"/>
          <w:i w:val="1"/>
          <w:iCs w:val="1"/>
          <w:color w:val="auto"/>
        </w:rPr>
      </w:pPr>
    </w:p>
    <w:p>
      <w:pPr>
        <w:ind w:left="640" w:right="1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August 13, 2020, Witty network repurchased 1,640,444 Restricted Shares which have been vested, at the price of US$1.18 per share. The fair value of ordinary shares was US$0.49 per share. The difference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60"/>
          </w:cols>
          <w:pgMar w:left="320" w:top="452" w:right="5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460"/>
        <w:spacing w:after="0" w:line="275" w:lineRule="auto"/>
        <w:rPr>
          <w:sz w:val="20"/>
          <w:szCs w:val="20"/>
          <w:color w:val="auto"/>
        </w:rPr>
      </w:pPr>
      <w:r>
        <w:rPr>
          <w:rFonts w:ascii="Times New Roman" w:cs="Times New Roman" w:eastAsia="Times New Roman" w:hAnsi="Times New Roman"/>
          <w:sz w:val="18"/>
          <w:szCs w:val="18"/>
          <w:color w:val="auto"/>
        </w:rPr>
        <w:t>between the repurchase price and fair value of the ordinary shares at the time of the repurchase was recorded as compensation expenses. The remaining shares were re-designated as Class B ordinary shares subject to the original restriction terms.</w:t>
      </w:r>
    </w:p>
    <w:p>
      <w:pPr>
        <w:spacing w:after="0" w:line="58" w:lineRule="exact"/>
        <w:rPr>
          <w:sz w:val="20"/>
          <w:szCs w:val="20"/>
          <w:color w:val="auto"/>
        </w:rPr>
      </w:pPr>
    </w:p>
    <w:p>
      <w:pPr>
        <w:ind w:left="640" w:right="20"/>
        <w:spacing w:after="0" w:line="265" w:lineRule="auto"/>
        <w:rPr>
          <w:sz w:val="20"/>
          <w:szCs w:val="20"/>
          <w:color w:val="auto"/>
        </w:rPr>
      </w:pPr>
      <w:r>
        <w:rPr>
          <w:rFonts w:ascii="Times New Roman" w:cs="Times New Roman" w:eastAsia="Times New Roman" w:hAnsi="Times New Roman"/>
          <w:sz w:val="17"/>
          <w:szCs w:val="17"/>
          <w:color w:val="auto"/>
        </w:rPr>
        <w:t>On September 1, 2020, 600,000 vested share options held by individual managers were purchased by the Founder with US$0.85 per share option. Witty network did not receive any proceeds from this transaction. At the time of the purchase, the IPO condition attached to these options was removed, that is, the options received by the Founder were immediately exercisable. In accordance with ASC 718, the removal of the IPO condition was accounted for as a Type III modification because the original condition was not expected to be satisfied as of the modification date. Therefore, the difference between the purchase price and fair value of these options before modification, which approximately equaled the purchase price, was recorded as share based compensation expenses. In November 2020, these options were approved by the board to be exercised as 600,000 Class A ordinary shares, and the Founder agreed with Witty network to classify 150,000, out of the 600,000 Class A ordinary shares as additional Restricted Shares, with 50% of these shares vested on August 13, 2021 and 2022 respectively. In addition, the Founder further agreed with Witty network that 410,111 Class B ordinary shares of the previously granted Restricted Shares were vested immediately, while the remaining 13,510,660 Class B ordinary shares, being the unvested Restricted Shares, were also modified with 50% vested on August 13, 2021 and 2022 respectively. Such modification did not have any material impact on the fair value of these share options.</w:t>
      </w:r>
    </w:p>
    <w:p>
      <w:pPr>
        <w:spacing w:after="0" w:line="72"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On May 31, 2021, all of the then outstanding restricted shares were issued by EW to Founder Co. to replicate the number and terms of restricted shares originally issued by Witty network. On May 31, 2022, all of the then outstanding restricted shares were issued by the Company to Founder CO. to replicate the number and terms of restricted shares originally issued by EW.</w:t>
      </w:r>
    </w:p>
    <w:p>
      <w:pPr>
        <w:spacing w:after="0" w:line="69" w:lineRule="exact"/>
        <w:rPr>
          <w:sz w:val="20"/>
          <w:szCs w:val="20"/>
          <w:color w:val="auto"/>
        </w:rPr>
      </w:pPr>
    </w:p>
    <w:p>
      <w:pPr>
        <w:ind w:left="640" w:right="440"/>
        <w:spacing w:after="0" w:line="275" w:lineRule="auto"/>
        <w:rPr>
          <w:sz w:val="20"/>
          <w:szCs w:val="20"/>
          <w:color w:val="auto"/>
        </w:rPr>
      </w:pPr>
      <w:r>
        <w:rPr>
          <w:rFonts w:ascii="Times New Roman" w:cs="Times New Roman" w:eastAsia="Times New Roman" w:hAnsi="Times New Roman"/>
          <w:sz w:val="18"/>
          <w:szCs w:val="18"/>
          <w:color w:val="auto"/>
        </w:rPr>
        <w:t>On June 1, 2022, the remaining 75,000 shares of these unvested restricted shares were approved to be vested immediately, and the remaining RMB71 of share-based compensation expenses were recognized immediately.</w:t>
      </w:r>
    </w:p>
    <w:p>
      <w:pPr>
        <w:spacing w:after="0" w:line="58" w:lineRule="exact"/>
        <w:rPr>
          <w:sz w:val="20"/>
          <w:szCs w:val="20"/>
          <w:color w:val="auto"/>
        </w:rPr>
      </w:pPr>
    </w:p>
    <w:p>
      <w:pPr>
        <w:ind w:left="640" w:right="260"/>
        <w:spacing w:after="0" w:line="305" w:lineRule="auto"/>
        <w:rPr>
          <w:sz w:val="20"/>
          <w:szCs w:val="20"/>
          <w:color w:val="auto"/>
        </w:rPr>
      </w:pPr>
      <w:r>
        <w:rPr>
          <w:rFonts w:ascii="Times New Roman" w:cs="Times New Roman" w:eastAsia="Times New Roman" w:hAnsi="Times New Roman"/>
          <w:sz w:val="17"/>
          <w:szCs w:val="17"/>
          <w:color w:val="auto"/>
        </w:rPr>
        <w:t>Such restriction is deemed as a compensatory arrangement for services to be provided by the Founder, and therefore accounted for as a share-based compensation arrangement. The share-based compensation expenses related to restricted shares are recognized on a graded vesting basis.</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activities of restricted shares for the years ended June 30, 2021 and 2022 is presented below:</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 xml:space="preserve">Value (in </w:t>
            </w:r>
            <w:r>
              <w:rPr>
                <w:rFonts w:ascii="Times New Roman" w:cs="Times New Roman" w:eastAsia="Times New Roman" w:hAnsi="Times New Roman"/>
                <w:sz w:val="14"/>
                <w:szCs w:val="14"/>
                <w:b w:val="1"/>
                <w:bCs w:val="1"/>
                <w:u w:val="single" w:color="auto"/>
                <w:color w:val="auto"/>
                <w:w w:val="97"/>
              </w:rPr>
              <w:t>US$</w:t>
            </w: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6"/>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July 1, 2020</w:t>
            </w:r>
          </w:p>
        </w:tc>
        <w:tc>
          <w:tcPr>
            <w:tcW w:w="4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13,920,771</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(410,111)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Unvested at June 30, 2021</w:t>
            </w:r>
          </w:p>
        </w:tc>
        <w:tc>
          <w:tcPr>
            <w:tcW w:w="4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13,660,660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Unvested at July 1, 2021</w:t>
            </w:r>
          </w:p>
        </w:tc>
        <w:tc>
          <w:tcPr>
            <w:tcW w:w="55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13,660,660</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(6,905,330)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Unvested at June 30, 2022</w:t>
            </w:r>
          </w:p>
        </w:tc>
        <w:tc>
          <w:tcPr>
            <w:tcW w:w="4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6,755,330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340" w:type="dxa"/>
            <w:vAlign w:val="bottom"/>
          </w:tcPr>
          <w:p>
            <w:pPr>
              <w:spacing w:after="0"/>
              <w:rPr>
                <w:sz w:val="24"/>
                <w:szCs w:val="24"/>
                <w:color w:val="auto"/>
              </w:rPr>
            </w:pPr>
          </w:p>
        </w:tc>
        <w:tc>
          <w:tcPr>
            <w:tcW w:w="5840" w:type="dxa"/>
            <w:vAlign w:val="bottom"/>
            <w:gridSpan w:val="3"/>
          </w:tcPr>
          <w:p>
            <w:pPr>
              <w:jc w:val="right"/>
              <w:ind w:right="4020"/>
              <w:spacing w:after="0"/>
              <w:rPr>
                <w:sz w:val="20"/>
                <w:szCs w:val="20"/>
                <w:color w:val="auto"/>
              </w:rPr>
            </w:pPr>
            <w:r>
              <w:rPr>
                <w:rFonts w:ascii="Times New Roman" w:cs="Times New Roman" w:eastAsia="Times New Roman" w:hAnsi="Times New Roman"/>
                <w:sz w:val="18"/>
                <w:szCs w:val="18"/>
                <w:color w:val="auto"/>
              </w:rPr>
              <w:t>F-46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14" w:lineRule="exact"/>
        <w:rPr>
          <w:rFonts w:ascii="Times New Roman" w:cs="Times New Roman" w:eastAsia="Times New Roman" w:hAnsi="Times New Roman"/>
          <w:sz w:val="18"/>
          <w:szCs w:val="18"/>
          <w:b w:val="1"/>
          <w:bCs w:val="1"/>
          <w:color w:val="auto"/>
        </w:rPr>
      </w:pPr>
    </w:p>
    <w:p>
      <w:pPr>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incorporation of the Company, Witty network issued ordinary shares to shareholders. As of July 1, 2020, Witty network issued 55,683,082 ordinary shares to Founder Co., of which 13,920,770 ordinary shares were restricted and subject to further service condition of the Founder (Note 14(b)).</w:t>
      </w:r>
    </w:p>
    <w:p>
      <w:pPr>
        <w:spacing w:after="0" w:line="69" w:lineRule="exact"/>
        <w:rPr>
          <w:rFonts w:ascii="Times New Roman" w:cs="Times New Roman" w:eastAsia="Times New Roman" w:hAnsi="Times New Roman"/>
          <w:sz w:val="18"/>
          <w:szCs w:val="18"/>
          <w:b w:val="1"/>
          <w:bCs w:val="1"/>
          <w:color w:val="auto"/>
        </w:rPr>
      </w:pPr>
    </w:p>
    <w:p>
      <w:pPr>
        <w:ind w:left="64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2020, 1,640,444 ordinary shares were repurchased by Witty network (Note 14(b)), and the remaining 54,042,638 ordinary shares (including 13,920,770 unvested restricted shares) were all re-designated as Class B ordinary shares with ten votes per share.</w:t>
      </w:r>
    </w:p>
    <w:p>
      <w:pPr>
        <w:spacing w:after="0" w:line="57" w:lineRule="exact"/>
        <w:rPr>
          <w:rFonts w:ascii="Times New Roman" w:cs="Times New Roman" w:eastAsia="Times New Roman" w:hAnsi="Times New Roman"/>
          <w:sz w:val="18"/>
          <w:szCs w:val="18"/>
          <w:b w:val="1"/>
          <w:bCs w:val="1"/>
          <w:color w:val="auto"/>
        </w:rPr>
      </w:pPr>
    </w:p>
    <w:p>
      <w:pPr>
        <w:ind w:left="640" w:right="5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November 4, 2020, 600,000 Class A ordinary shares with one vote per share were issued by Witty network to Founder Co. for nominal consideration, of which 150,000 ordinary shares were restricted and subject to further service condition of the Founder (Note 14(b)).</w:t>
      </w:r>
    </w:p>
    <w:p>
      <w:pPr>
        <w:spacing w:after="0" w:line="34" w:lineRule="exact"/>
        <w:rPr>
          <w:rFonts w:ascii="Times New Roman" w:cs="Times New Roman" w:eastAsia="Times New Roman" w:hAnsi="Times New Roman"/>
          <w:sz w:val="18"/>
          <w:szCs w:val="18"/>
          <w:b w:val="1"/>
          <w:bCs w:val="1"/>
          <w:color w:val="auto"/>
        </w:rPr>
      </w:pPr>
    </w:p>
    <w:p>
      <w:pPr>
        <w:ind w:left="640" w:right="2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2021, 600,000 Class A ordinary shares and 54,042,638 Class B ordinary shares were issued by EW to Founder Co. to replicate the number and terms of ordinary shares originally issued by Witty network.</w:t>
      </w:r>
    </w:p>
    <w:p>
      <w:pPr>
        <w:spacing w:after="0" w:line="57" w:lineRule="exact"/>
        <w:rPr>
          <w:rFonts w:ascii="Times New Roman" w:cs="Times New Roman" w:eastAsia="Times New Roman" w:hAnsi="Times New Roman"/>
          <w:sz w:val="18"/>
          <w:szCs w:val="18"/>
          <w:b w:val="1"/>
          <w:bCs w:val="1"/>
          <w:color w:val="auto"/>
        </w:rPr>
      </w:pPr>
    </w:p>
    <w:p>
      <w:pPr>
        <w:ind w:left="64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9, 2022, the Company was incorporated in the Cayman Islands with an authorized share capital of US$50,000, divided into 500,000,000 shares with a par value of US$0.0001 each. Upon its incorporation, 1 share was allotted and issued to Founder Co. and credited as fully paid.</w:t>
      </w:r>
    </w:p>
    <w:p>
      <w:pPr>
        <w:spacing w:after="0" w:line="69" w:lineRule="exact"/>
        <w:rPr>
          <w:rFonts w:ascii="Times New Roman" w:cs="Times New Roman" w:eastAsia="Times New Roman" w:hAnsi="Times New Roman"/>
          <w:sz w:val="18"/>
          <w:szCs w:val="18"/>
          <w:b w:val="1"/>
          <w:bCs w:val="1"/>
          <w:color w:val="auto"/>
        </w:rPr>
      </w:pPr>
    </w:p>
    <w:p>
      <w:pPr>
        <w:ind w:left="64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completion of the Step 2 Reorganization, the authorized share capital of the Company is US$50,000 consisting of 500,000,000 shares of a nominal or par value of US$0.0001 each, of which:</w:t>
      </w:r>
    </w:p>
    <w:p>
      <w:pPr>
        <w:spacing w:after="0" w:line="70" w:lineRule="exact"/>
        <w:rPr>
          <w:rFonts w:ascii="Times New Roman" w:cs="Times New Roman" w:eastAsia="Times New Roman" w:hAnsi="Times New Roman"/>
          <w:sz w:val="18"/>
          <w:szCs w:val="18"/>
          <w:b w:val="1"/>
          <w:bCs w:val="1"/>
          <w:color w:val="auto"/>
        </w:rPr>
      </w:pPr>
    </w:p>
    <w:p>
      <w:pPr>
        <w:ind w:left="1260" w:hanging="529"/>
        <w:spacing w:after="0"/>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345,113,731 are designated as class A ordinary shares of a par value of US$0.0001 each (the “Class A Ordinary Shares”),</w:t>
      </w:r>
    </w:p>
    <w:p>
      <w:pPr>
        <w:spacing w:after="0" w:line="125" w:lineRule="exact"/>
        <w:rPr>
          <w:rFonts w:ascii="Times New Roman" w:cs="Times New Roman" w:eastAsia="Times New Roman" w:hAnsi="Times New Roman"/>
          <w:sz w:val="18"/>
          <w:szCs w:val="18"/>
          <w:color w:val="auto"/>
        </w:rPr>
      </w:pPr>
    </w:p>
    <w:p>
      <w:pPr>
        <w:ind w:left="1260" w:right="4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54,042,638 are designated as class B ordinary shares of a par value of US$0.0001 each (the “Class B Ordinary Shares”, together with the Class A Ordinary Shares, collectively the “Ordinary Shares”),</w:t>
      </w:r>
    </w:p>
    <w:p>
      <w:pPr>
        <w:spacing w:after="0" w:line="70" w:lineRule="exact"/>
        <w:rPr>
          <w:rFonts w:ascii="Times New Roman" w:cs="Times New Roman" w:eastAsia="Times New Roman" w:hAnsi="Times New Roman"/>
          <w:sz w:val="18"/>
          <w:szCs w:val="18"/>
          <w:color w:val="auto"/>
        </w:rPr>
      </w:pPr>
    </w:p>
    <w:p>
      <w:pPr>
        <w:ind w:left="1260" w:right="2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are designated as convertible redeemable series A preferred shares of a par value of US$0.0001 each (the “Series A Preferred Shares”),</w:t>
      </w:r>
    </w:p>
    <w:p>
      <w:pPr>
        <w:spacing w:after="0" w:line="70" w:lineRule="exact"/>
        <w:rPr>
          <w:rFonts w:ascii="Times New Roman" w:cs="Times New Roman" w:eastAsia="Times New Roman" w:hAnsi="Times New Roman"/>
          <w:sz w:val="18"/>
          <w:szCs w:val="18"/>
          <w:color w:val="auto"/>
        </w:rPr>
      </w:pPr>
    </w:p>
    <w:p>
      <w:pPr>
        <w:ind w:left="1260" w:right="4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23,983,789 are designated as convertible redeemable series B preferred shares of a par value of US$0.0001 each (the “Series B Preferred Shares”),</w:t>
      </w:r>
    </w:p>
    <w:p>
      <w:pPr>
        <w:spacing w:after="0" w:line="70" w:lineRule="exact"/>
        <w:rPr>
          <w:rFonts w:ascii="Times New Roman" w:cs="Times New Roman" w:eastAsia="Times New Roman" w:hAnsi="Times New Roman"/>
          <w:sz w:val="18"/>
          <w:szCs w:val="18"/>
          <w:color w:val="auto"/>
        </w:rPr>
      </w:pPr>
    </w:p>
    <w:p>
      <w:pPr>
        <w:ind w:left="1260" w:right="54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7,913,872 are designated as convertible redeemable series B-1 preferred shares of a par value of US$0.0001 each (the “Series B-1 Preferred Shares”),</w:t>
      </w:r>
    </w:p>
    <w:p>
      <w:pPr>
        <w:spacing w:after="0" w:line="70" w:lineRule="exact"/>
        <w:rPr>
          <w:rFonts w:ascii="Times New Roman" w:cs="Times New Roman" w:eastAsia="Times New Roman" w:hAnsi="Times New Roman"/>
          <w:sz w:val="18"/>
          <w:szCs w:val="18"/>
          <w:color w:val="auto"/>
        </w:rPr>
      </w:pPr>
    </w:p>
    <w:p>
      <w:pPr>
        <w:ind w:left="1260" w:right="4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20,327,789 are designated as convertible redeemable series C preferred shares of a par value of US$0.0001 each (the “Series C Preferred Shares”),</w:t>
      </w:r>
    </w:p>
    <w:p>
      <w:pPr>
        <w:spacing w:after="0" w:line="70" w:lineRule="exact"/>
        <w:rPr>
          <w:rFonts w:ascii="Times New Roman" w:cs="Times New Roman" w:eastAsia="Times New Roman" w:hAnsi="Times New Roman"/>
          <w:sz w:val="18"/>
          <w:szCs w:val="18"/>
          <w:color w:val="auto"/>
        </w:rPr>
      </w:pPr>
    </w:p>
    <w:p>
      <w:pPr>
        <w:ind w:left="1260" w:right="4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11,818,754 are designated as convertible redeemable series D preferred shares of a par value of US$0.0001 each (the “Series D Preferred Shares”), and</w:t>
      </w:r>
    </w:p>
    <w:p>
      <w:pPr>
        <w:spacing w:after="0" w:line="70" w:lineRule="exact"/>
        <w:rPr>
          <w:rFonts w:ascii="Times New Roman" w:cs="Times New Roman" w:eastAsia="Times New Roman" w:hAnsi="Times New Roman"/>
          <w:sz w:val="18"/>
          <w:szCs w:val="18"/>
          <w:color w:val="auto"/>
        </w:rPr>
      </w:pPr>
    </w:p>
    <w:p>
      <w:pPr>
        <w:ind w:left="1260" w:right="60" w:hanging="529"/>
        <w:spacing w:after="0" w:line="275" w:lineRule="auto"/>
        <w:tabs>
          <w:tab w:leader="none" w:pos="12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14,799,427 are designated as convertible redeemable series E preferred shares of a par value of US$0.0001 each (the “Series E Preferred Shares”).</w:t>
      </w:r>
    </w:p>
    <w:p>
      <w:pPr>
        <w:spacing w:after="0" w:line="58" w:lineRule="exact"/>
        <w:rPr>
          <w:sz w:val="20"/>
          <w:szCs w:val="20"/>
          <w:color w:val="auto"/>
        </w:rPr>
      </w:pPr>
    </w:p>
    <w:p>
      <w:pPr>
        <w:ind w:left="640" w:right="40"/>
        <w:spacing w:after="0" w:line="256" w:lineRule="auto"/>
        <w:rPr>
          <w:sz w:val="20"/>
          <w:szCs w:val="20"/>
          <w:color w:val="auto"/>
        </w:rPr>
      </w:pPr>
      <w:r>
        <w:rPr>
          <w:rFonts w:ascii="Times New Roman" w:cs="Times New Roman" w:eastAsia="Times New Roman" w:hAnsi="Times New Roman"/>
          <w:sz w:val="18"/>
          <w:szCs w:val="18"/>
          <w:color w:val="auto"/>
        </w:rPr>
        <w:t>Holder of each of the Class A Ordinary Shares is entitled to one vote per share and holder of each of the Class B Ordinary Shares is entitled to ten votes. Class B Ordinary Shares are convertible at any time by the holder into Class A ordinary shares on a one-for-one basis, while Class A ordinary shares are not convertible into Class B ordinary shares under any circumstances. Only Class B Ordinary Shares held by the Founder and Founder Co. enjoy ten votes for every Class B Ordinary Share on a poll.</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20"/>
          </w:cols>
          <w:pgMar w:left="320" w:top="453" w:right="5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On May 31, 2022, 600,000 Class A ordinary shares and 54,042,638 Class B ordinary shares were issued to Founder Co., of which 75,000 Class A ordinary shares and 6,755,330 Class B ordinary shares were still restricted and shall vest in the remaining service period (Note 14(b)). Ordinary shares of the Company were recognized upon issuance of the shares by the Company based on their par value.</w:t>
      </w:r>
    </w:p>
    <w:p>
      <w:pPr>
        <w:spacing w:after="0" w:line="69" w:lineRule="exact"/>
        <w:rPr>
          <w:sz w:val="20"/>
          <w:szCs w:val="20"/>
          <w:color w:val="auto"/>
        </w:rPr>
      </w:pPr>
    </w:p>
    <w:p>
      <w:pPr>
        <w:ind w:left="640" w:right="140"/>
        <w:spacing w:after="0" w:line="275" w:lineRule="auto"/>
        <w:rPr>
          <w:sz w:val="20"/>
          <w:szCs w:val="20"/>
          <w:color w:val="auto"/>
        </w:rPr>
      </w:pPr>
      <w:r>
        <w:rPr>
          <w:rFonts w:ascii="Times New Roman" w:cs="Times New Roman" w:eastAsia="Times New Roman" w:hAnsi="Times New Roman"/>
          <w:sz w:val="18"/>
          <w:szCs w:val="18"/>
          <w:color w:val="auto"/>
        </w:rPr>
        <w:t>On June 1, 2022, 4,183,589 Class B ordinary shares re-designated as the same number of Class A ordinary shares, and 75,000 unvested restricted shares held by the Founder Co. were approved to be vested into Class A ordinary shares.</w:t>
      </w:r>
    </w:p>
    <w:p>
      <w:pPr>
        <w:spacing w:after="0" w:line="308" w:lineRule="exact"/>
        <w:rPr>
          <w:sz w:val="20"/>
          <w:szCs w:val="20"/>
          <w:color w:val="auto"/>
        </w:rPr>
      </w:pPr>
    </w:p>
    <w:p>
      <w:pPr>
        <w:ind w:left="640" w:right="8220" w:hanging="441"/>
        <w:spacing w:after="0" w:line="393" w:lineRule="auto"/>
        <w:tabs>
          <w:tab w:leader="none" w:pos="632"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Preferred Shares </w:t>
      </w:r>
      <w:r>
        <w:rPr>
          <w:rFonts w:ascii="Times New Roman" w:cs="Times New Roman" w:eastAsia="Times New Roman" w:hAnsi="Times New Roman"/>
          <w:sz w:val="17"/>
          <w:szCs w:val="17"/>
          <w:i w:val="1"/>
          <w:iCs w:val="1"/>
          <w:u w:val="single" w:color="auto"/>
          <w:color w:val="auto"/>
        </w:rPr>
        <w:t>Predecessors’ preferred shares</w:t>
      </w:r>
    </w:p>
    <w:p>
      <w:pPr>
        <w:ind w:left="640" w:right="62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incorporation of the Company, Witty network has issued preferred shares to certain investors. The following table summarizes the issuances of preferred shares by Witty network:</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6"/>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0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0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320" w:type="dxa"/>
            <w:vAlign w:val="bottom"/>
          </w:tcPr>
          <w:p>
            <w:pPr>
              <w:jc w:val="center"/>
              <w:ind w:left="469"/>
              <w:spacing w:after="0" w:line="147"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issuance price</w:t>
            </w:r>
          </w:p>
        </w:tc>
        <w:tc>
          <w:tcPr>
            <w:tcW w:w="0" w:type="dxa"/>
            <w:vAlign w:val="bottom"/>
          </w:tcPr>
          <w:p>
            <w:pPr>
              <w:spacing w:after="0"/>
              <w:rPr>
                <w:sz w:val="1"/>
                <w:szCs w:val="1"/>
                <w:color w:val="auto"/>
              </w:rPr>
            </w:pPr>
          </w:p>
        </w:tc>
      </w:tr>
      <w:tr>
        <w:trPr>
          <w:trHeight w:val="184"/>
        </w:trPr>
        <w:tc>
          <w:tcPr>
            <w:tcW w:w="242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32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WN-A</w:t>
            </w:r>
          </w:p>
        </w:tc>
        <w:tc>
          <w:tcPr>
            <w:tcW w:w="220" w:type="dxa"/>
            <w:vAlign w:val="bottom"/>
          </w:tcPr>
          <w:p>
            <w:pPr>
              <w:spacing w:after="0"/>
              <w:rPr>
                <w:sz w:val="16"/>
                <w:szCs w:val="16"/>
                <w:color w:val="auto"/>
              </w:rPr>
            </w:pPr>
          </w:p>
        </w:tc>
        <w:tc>
          <w:tcPr>
            <w:tcW w:w="1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April 2017</w:t>
            </w:r>
          </w:p>
        </w:tc>
        <w:tc>
          <w:tcPr>
            <w:tcW w:w="220" w:type="dxa"/>
            <w:vAlign w:val="bottom"/>
          </w:tcPr>
          <w:p>
            <w:pPr>
              <w:spacing w:after="0"/>
              <w:rPr>
                <w:sz w:val="16"/>
                <w:szCs w:val="16"/>
                <w:color w:val="auto"/>
              </w:rPr>
            </w:pPr>
          </w:p>
        </w:tc>
        <w:tc>
          <w:tcPr>
            <w:tcW w:w="18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22,000,000</w:t>
            </w:r>
          </w:p>
        </w:tc>
        <w:tc>
          <w:tcPr>
            <w:tcW w:w="2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0.0455</w:t>
            </w:r>
          </w:p>
        </w:tc>
        <w:tc>
          <w:tcPr>
            <w:tcW w:w="200" w:type="dxa"/>
            <w:vAlign w:val="bottom"/>
          </w:tcPr>
          <w:p>
            <w:pPr>
              <w:spacing w:after="0"/>
              <w:rPr>
                <w:sz w:val="16"/>
                <w:szCs w:val="16"/>
                <w:color w:val="auto"/>
              </w:rPr>
            </w:pPr>
          </w:p>
        </w:tc>
        <w:tc>
          <w:tcPr>
            <w:tcW w:w="17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WN-B</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April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23,983,789</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WN-B-1</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7,913,872</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0.3146</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1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WN-C</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20,327,789</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0.5686</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0" w:type="dxa"/>
            <w:vAlign w:val="bottom"/>
          </w:tcPr>
          <w:p>
            <w:pPr>
              <w:spacing w:after="0"/>
              <w:rPr>
                <w:sz w:val="1"/>
                <w:szCs w:val="1"/>
                <w:color w:val="auto"/>
              </w:rPr>
            </w:pPr>
          </w:p>
        </w:tc>
      </w:tr>
      <w:tr>
        <w:trPr>
          <w:trHeight w:val="21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WN-D</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2020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11,818,754</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0" w:type="dxa"/>
            <w:vAlign w:val="bottom"/>
          </w:tcPr>
          <w:p>
            <w:pPr>
              <w:spacing w:after="0"/>
              <w:rPr>
                <w:sz w:val="1"/>
                <w:szCs w:val="1"/>
                <w:color w:val="auto"/>
              </w:rPr>
            </w:pPr>
          </w:p>
        </w:tc>
      </w:tr>
      <w:tr>
        <w:trPr>
          <w:trHeight w:val="2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WN-E</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November 2020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14,799,427</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right="200"/>
        <w:spacing w:after="0" w:line="275" w:lineRule="auto"/>
        <w:rPr>
          <w:sz w:val="20"/>
          <w:szCs w:val="20"/>
          <w:color w:val="auto"/>
        </w:rPr>
      </w:pPr>
      <w:r>
        <w:rPr>
          <w:rFonts w:ascii="Times New Roman" w:cs="Times New Roman" w:eastAsia="Times New Roman" w:hAnsi="Times New Roman"/>
          <w:sz w:val="18"/>
          <w:szCs w:val="18"/>
          <w:color w:val="auto"/>
        </w:rPr>
        <w:t>In August 2020, in connection with the issuance of series WN-D preferred shares, terms of series WN-A, WN-B, WN-B-1, and WN-C preferred shares were modified to include a redemption right.</w:t>
      </w:r>
    </w:p>
    <w:p>
      <w:pPr>
        <w:spacing w:after="0" w:line="58" w:lineRule="exact"/>
        <w:rPr>
          <w:sz w:val="20"/>
          <w:szCs w:val="20"/>
          <w:color w:val="auto"/>
        </w:rPr>
      </w:pPr>
    </w:p>
    <w:p>
      <w:pPr>
        <w:ind w:left="640" w:right="680"/>
        <w:spacing w:after="0" w:line="275" w:lineRule="auto"/>
        <w:rPr>
          <w:sz w:val="20"/>
          <w:szCs w:val="20"/>
          <w:color w:val="auto"/>
        </w:rPr>
      </w:pPr>
      <w:r>
        <w:rPr>
          <w:rFonts w:ascii="Times New Roman" w:cs="Times New Roman" w:eastAsia="Times New Roman" w:hAnsi="Times New Roman"/>
          <w:sz w:val="18"/>
          <w:szCs w:val="18"/>
          <w:color w:val="auto"/>
        </w:rPr>
        <w:t>On May 31, 2021, preferred shares were issued by EW in connection with the Step 1 Reorganization to replicate the number and terms of preferred shares originally issued by Witty network.</w:t>
      </w:r>
    </w:p>
    <w:p>
      <w:pPr>
        <w:spacing w:after="0" w:line="58" w:lineRule="exact"/>
        <w:rPr>
          <w:sz w:val="20"/>
          <w:szCs w:val="20"/>
          <w:color w:val="auto"/>
        </w:rPr>
      </w:pPr>
    </w:p>
    <w:p>
      <w:pPr>
        <w:ind w:left="640" w:right="220"/>
        <w:spacing w:after="0" w:line="275" w:lineRule="auto"/>
        <w:rPr>
          <w:sz w:val="20"/>
          <w:szCs w:val="20"/>
          <w:color w:val="auto"/>
        </w:rPr>
      </w:pPr>
      <w:r>
        <w:rPr>
          <w:rFonts w:ascii="Times New Roman" w:cs="Times New Roman" w:eastAsia="Times New Roman" w:hAnsi="Times New Roman"/>
          <w:sz w:val="18"/>
          <w:szCs w:val="18"/>
          <w:color w:val="auto"/>
        </w:rPr>
        <w:t>On May 31, 2022, preferred shares were issued the Company in connection with the Step 2 Reorganization to replicate the number and terms of preferred shares originally issued by EW.</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shares of the Company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key terms of the preferred shares of the Company are as follows:</w:t>
      </w:r>
    </w:p>
    <w:p>
      <w:pPr>
        <w:spacing w:after="0" w:line="3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Rights</w:t>
      </w:r>
    </w:p>
    <w:p>
      <w:pPr>
        <w:spacing w:after="0" w:line="114" w:lineRule="exact"/>
        <w:rPr>
          <w:sz w:val="20"/>
          <w:szCs w:val="20"/>
          <w:color w:val="auto"/>
        </w:rPr>
      </w:pPr>
    </w:p>
    <w:p>
      <w:pPr>
        <w:ind w:left="640" w:right="540"/>
        <w:spacing w:after="0" w:line="275" w:lineRule="auto"/>
        <w:rPr>
          <w:sz w:val="20"/>
          <w:szCs w:val="20"/>
          <w:color w:val="auto"/>
        </w:rPr>
      </w:pPr>
      <w:r>
        <w:rPr>
          <w:rFonts w:ascii="Times New Roman" w:cs="Times New Roman" w:eastAsia="Times New Roman" w:hAnsi="Times New Roman"/>
          <w:sz w:val="18"/>
          <w:szCs w:val="18"/>
          <w:color w:val="auto"/>
        </w:rPr>
        <w:t>Unless converted earlier pursuant to Automatic Conversion below, each holder of preferred shares shall have the right, at such holder’s sole discretion, to convert all or any portion of the preferred shares into Class A ordinary shares at any time.</w:t>
      </w:r>
    </w:p>
    <w:p>
      <w:pPr>
        <w:spacing w:after="0" w:line="58" w:lineRule="exact"/>
        <w:rPr>
          <w:sz w:val="20"/>
          <w:szCs w:val="20"/>
          <w:color w:val="auto"/>
        </w:rPr>
      </w:pPr>
    </w:p>
    <w:p>
      <w:pPr>
        <w:ind w:left="640" w:right="80"/>
        <w:spacing w:after="0" w:line="261" w:lineRule="auto"/>
        <w:rPr>
          <w:sz w:val="20"/>
          <w:szCs w:val="20"/>
          <w:color w:val="auto"/>
        </w:rPr>
      </w:pPr>
      <w:r>
        <w:rPr>
          <w:rFonts w:ascii="Times New Roman" w:cs="Times New Roman" w:eastAsia="Times New Roman" w:hAnsi="Times New Roman"/>
          <w:sz w:val="18"/>
          <w:szCs w:val="18"/>
          <w:color w:val="auto"/>
        </w:rPr>
        <w:t>Automatic Conversion: Each preferred share shall automatically be converted into Class A Ordinary Shares, at the then applicable conversion price (i) upon the closing of a qualified initial public offering (“QIPO”), and (ii) upon the prior written approval of the holders of a majority of the outstanding preferred shares of each class with respect to conversion of each class.</w:t>
      </w:r>
    </w:p>
    <w:p>
      <w:pPr>
        <w:spacing w:after="0" w:line="69" w:lineRule="exact"/>
        <w:rPr>
          <w:sz w:val="20"/>
          <w:szCs w:val="20"/>
          <w:color w:val="auto"/>
        </w:rPr>
      </w:pPr>
    </w:p>
    <w:p>
      <w:pPr>
        <w:jc w:val="both"/>
        <w:ind w:left="640" w:right="480"/>
        <w:spacing w:after="0" w:line="261" w:lineRule="auto"/>
        <w:rPr>
          <w:sz w:val="20"/>
          <w:szCs w:val="20"/>
          <w:color w:val="auto"/>
        </w:rPr>
      </w:pPr>
      <w:r>
        <w:rPr>
          <w:rFonts w:ascii="Times New Roman" w:cs="Times New Roman" w:eastAsia="Times New Roman" w:hAnsi="Times New Roman"/>
          <w:sz w:val="18"/>
          <w:szCs w:val="18"/>
          <w:color w:val="auto"/>
        </w:rPr>
        <w:t>The initial conversion ratio of preferred shares to ordinary shares shall be 1:1, and shall be subject to adjustments in the event of issuance or deemed issuance of additional ordinary shares below the preferred share conversion price, or share dividends, subdivisions, combinations or consolidations of ordinary shares, other distributions, or reclassification, exchange and substitution.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60"/>
          </w:cols>
          <w:pgMar w:left="320" w:top="452" w:right="5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Redemption Rights</w:t>
      </w:r>
    </w:p>
    <w:p>
      <w:pPr>
        <w:spacing w:after="0" w:line="114"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The preferred shareholders shall have redemption rights upon the occurrence of any of the following events: (i) the Company fails to complete QIPO or a trade sale within four (4) years after the closing date of the issuance of Series E preferred shares of Witty network; (ii) a material breach by the Group or the Founder or the Founder Co., (iii) the termination of the Founder’s employment/services contract with the Group due to the voluntary termination by the Founder, or (iv) the time when any material adverse change occurs, under which circumstance the captive structure of the Group companies which is established through the VIE Contractual Agreements becomes, or has become invalid, illegal or unenforceable (each a “Redemption Event”); then each preferred share shall be redeemable upon the request of any preferred shareholder.</w:t>
      </w:r>
    </w:p>
    <w:p>
      <w:pPr>
        <w:spacing w:after="0" w:line="79"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The redemption price for each outstanding preferred share shall be equal to the product of (x) the applicable deemed preferred share issue price as set forth in the Company’s Memorandum of Association, and (y) (1+8%*N), where N equals to a fraction, (A) the numerator of which is the number of calendar days between the applicable original issue date (as defined in the Company’s Memorandum of Association) and the date on which the relevant redemption price is paid in full and (B) the denominator of which is 365, plus any declared but unpaid dividends.</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Liquidation preference</w:t>
      </w:r>
    </w:p>
    <w:p>
      <w:pPr>
        <w:spacing w:after="0" w:line="114" w:lineRule="exact"/>
        <w:rPr>
          <w:sz w:val="20"/>
          <w:szCs w:val="20"/>
          <w:color w:val="auto"/>
        </w:rPr>
      </w:pPr>
    </w:p>
    <w:p>
      <w:pPr>
        <w:ind w:left="640" w:right="240"/>
        <w:spacing w:after="0" w:line="252"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the holders of the Series E Preferred Shares shall be entitled to receive, prior to any distribution to the holders of any other class or series of shares then outstanding, an amount per Series E Preferred Share equal to (i) one hundred and twenty five percent (125%) of the applicable Series E deemed preferred share issue price, plus (ii) all accrued or declared but unpaid dividends. The holders of other series of Preferred Shares shall be entitled to receive an amount per share equal to (i) one hundred percent (100%) of the respective deemed preferred share issue price, plus (ii) all accrued or declared but unpaid dividends.</w:t>
      </w:r>
    </w:p>
    <w:p>
      <w:pPr>
        <w:spacing w:after="0" w:line="79"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7"/>
          <w:szCs w:val="17"/>
          <w:color w:val="auto"/>
        </w:rPr>
        <w:t>Unless waived in writing by the majority of the outstanding preferred shares of each class, (i) the acquisition of the Company (whether by a sale of equity, merger or consolidation) in which in excess of 50% of the Company’s voting power outstanding before such transaction is transferred,</w:t>
      </w:r>
    </w:p>
    <w:p>
      <w:pPr>
        <w:spacing w:after="0" w:line="2" w:lineRule="exact"/>
        <w:rPr>
          <w:sz w:val="20"/>
          <w:szCs w:val="20"/>
          <w:color w:val="auto"/>
        </w:rPr>
      </w:pPr>
    </w:p>
    <w:p>
      <w:pPr>
        <w:ind w:left="640" w:right="520" w:hanging="7"/>
        <w:spacing w:after="0" w:line="253" w:lineRule="auto"/>
        <w:tabs>
          <w:tab w:leader="none" w:pos="90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licensing of all or substantially all of the Company’s proprietary rights; or (iii) a sale, transfer or other disposition of all or substantially all the Company’s assets, shall be deemed a liquidation, dissolution or winding up of the Company.</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Dividend Rights</w:t>
      </w:r>
    </w:p>
    <w:p>
      <w:pPr>
        <w:spacing w:after="0" w:line="114" w:lineRule="exact"/>
        <w:rPr>
          <w:sz w:val="20"/>
          <w:szCs w:val="20"/>
          <w:color w:val="auto"/>
        </w:rPr>
      </w:pPr>
    </w:p>
    <w:p>
      <w:pPr>
        <w:ind w:left="640" w:right="180"/>
        <w:spacing w:after="0" w:line="275" w:lineRule="auto"/>
        <w:rPr>
          <w:sz w:val="20"/>
          <w:szCs w:val="20"/>
          <w:color w:val="auto"/>
        </w:rPr>
      </w:pPr>
      <w:r>
        <w:rPr>
          <w:rFonts w:ascii="Times New Roman" w:cs="Times New Roman" w:eastAsia="Times New Roman" w:hAnsi="Times New Roman"/>
          <w:sz w:val="18"/>
          <w:szCs w:val="18"/>
          <w:color w:val="auto"/>
        </w:rPr>
        <w:t>Holders of the preferred shares shall be entitled to receive any cash or non-cash dividends declared by the Board (including the approval of each investor director) on an as-converted basis.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p>
    <w:p>
      <w:pPr>
        <w:spacing w:after="0" w:line="114" w:lineRule="exact"/>
        <w:rPr>
          <w:sz w:val="20"/>
          <w:szCs w:val="20"/>
          <w:color w:val="auto"/>
        </w:rPr>
      </w:pPr>
    </w:p>
    <w:p>
      <w:pPr>
        <w:jc w:val="both"/>
        <w:ind w:left="640" w:right="80"/>
        <w:spacing w:after="0" w:line="261" w:lineRule="auto"/>
        <w:rPr>
          <w:sz w:val="20"/>
          <w:szCs w:val="20"/>
          <w:color w:val="auto"/>
        </w:rPr>
      </w:pPr>
      <w:r>
        <w:rPr>
          <w:rFonts w:ascii="Times New Roman" w:cs="Times New Roman" w:eastAsia="Times New Roman" w:hAnsi="Times New Roman"/>
          <w:sz w:val="18"/>
          <w:szCs w:val="18"/>
          <w:color w:val="auto"/>
        </w:rPr>
        <w:t>Each preferred share shall carry a number of votes equal to the number of Class A Ordinary Shares then issuable upon its conversion into Class A Ordinary Shares at the record date for determination of the shareholders entitled to vote on such matters, or, if no such record date is established, at the date such vote is taken or any written consent of shareholders is solicited.</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40"/>
          </w:cols>
          <w:pgMar w:left="320" w:top="452" w:right="5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for preferred shares</w:t>
      </w:r>
    </w:p>
    <w:p>
      <w:pPr>
        <w:spacing w:after="0" w:line="114" w:lineRule="exact"/>
        <w:rPr>
          <w:sz w:val="20"/>
          <w:szCs w:val="20"/>
          <w:color w:val="auto"/>
        </w:rPr>
      </w:pPr>
    </w:p>
    <w:p>
      <w:pPr>
        <w:ind w:left="640"/>
        <w:spacing w:after="0" w:line="261" w:lineRule="auto"/>
        <w:rPr>
          <w:sz w:val="20"/>
          <w:szCs w:val="20"/>
          <w:color w:val="auto"/>
        </w:rPr>
      </w:pPr>
      <w:r>
        <w:rPr>
          <w:rFonts w:ascii="Times New Roman" w:cs="Times New Roman" w:eastAsia="Times New Roman" w:hAnsi="Times New Roman"/>
          <w:sz w:val="18"/>
          <w:szCs w:val="18"/>
          <w:color w:val="auto"/>
        </w:rPr>
        <w:t>The Company classified the preferred shares in the mezzanine equity of the consolidated balance sheets as they are contingently redeemable at the options of the holders. The Company also determined that the embedded conversion features and the redemption features do not require bifurcation as they either are clearly and closely related to the preferred shares or do not meet the definition of a derivative.</w:t>
      </w:r>
    </w:p>
    <w:p>
      <w:pPr>
        <w:spacing w:after="0" w:line="69" w:lineRule="exact"/>
        <w:rPr>
          <w:sz w:val="20"/>
          <w:szCs w:val="20"/>
          <w:color w:val="auto"/>
        </w:rPr>
      </w:pPr>
    </w:p>
    <w:p>
      <w:pPr>
        <w:ind w:left="640" w:right="40"/>
        <w:spacing w:after="0" w:line="250" w:lineRule="auto"/>
        <w:rPr>
          <w:sz w:val="20"/>
          <w:szCs w:val="20"/>
          <w:color w:val="auto"/>
        </w:rPr>
      </w:pPr>
      <w:r>
        <w:rPr>
          <w:rFonts w:ascii="Times New Roman" w:cs="Times New Roman" w:eastAsia="Times New Roman" w:hAnsi="Times New Roman"/>
          <w:sz w:val="18"/>
          <w:szCs w:val="18"/>
          <w:color w:val="auto"/>
        </w:rPr>
        <w:t>Preferred shares of the Company were recognized upon the issuance of the shares by the Company on the completion date of the Reorganization and measured based on portion of carrying value of the Predecessors’ preferred shares attributable to the Listing Businesses using the relative fair value method. The preferred shares was subsequently be accreted to its redemption value (if higher than the fair value at issue date). The Company records accretion on the preferred shares, where applicable, to the redemption value from the issuance date to the earliest redemption dates. The accretion calculated using the effective interest method, is recorded against retained earnings, or in the absence of retained earnings, by charging against additional paid-in capital. Once additional paid-in capital has been exhausted, additional charges are recorded by increasing the accumulated deficit. The issuance costs for Preferred Shares were nil for the years presented. The accretion of preferred shares to redemption value was RMB2,987 for the period from the issuance date to June 30, 2022.</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20"/>
          </w:cols>
          <w:pgMar w:left="320" w:top="452" w:right="5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Group’s preferred shares activities for the year ended June 30, 2022 are summarized below:</w:t>
      </w:r>
    </w:p>
    <w:p>
      <w:pPr>
        <w:spacing w:after="0" w:line="24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1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Series C</w:t>
            </w:r>
          </w:p>
        </w:tc>
        <w:tc>
          <w:tcPr>
            <w:tcW w:w="14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Series D</w:t>
            </w:r>
          </w:p>
        </w:tc>
        <w:tc>
          <w:tcPr>
            <w:tcW w:w="12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Series E</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1"/>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40"/>
        </w:trPr>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bottom w:val="single" w:sz="8" w:color="CCEEFF"/>
            </w:tcBorders>
          </w:tcPr>
          <w:p>
            <w:pPr>
              <w:spacing w:after="0"/>
              <w:rPr>
                <w:sz w:val="12"/>
                <w:szCs w:val="12"/>
                <w:color w:val="auto"/>
              </w:rPr>
            </w:pPr>
          </w:p>
        </w:tc>
      </w:tr>
      <w:tr>
        <w:trPr>
          <w:trHeight w:val="93"/>
        </w:trPr>
        <w:tc>
          <w:tcPr>
            <w:tcW w:w="134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July 1,</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53"/>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3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Issuance of Preferred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3"/>
        </w:trPr>
        <w:tc>
          <w:tcPr>
            <w:tcW w:w="13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Shares upon Step 2</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Reorganization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22,000,000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82,002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23,983,789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94,833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7,913,872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33,612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20,327,789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108,501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11,818,754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103,404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14,799,427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238,821</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w w:val="99"/>
              </w:rPr>
              <w:t>100,843,631</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661,173</w:t>
            </w:r>
          </w:p>
        </w:tc>
        <w:tc>
          <w:tcPr>
            <w:tcW w:w="40" w:type="dxa"/>
            <w:vAlign w:val="bottom"/>
          </w:tcPr>
          <w:p>
            <w:pPr>
              <w:spacing w:after="0"/>
              <w:rPr>
                <w:sz w:val="13"/>
                <w:szCs w:val="13"/>
                <w:color w:val="auto"/>
              </w:rPr>
            </w:pPr>
          </w:p>
        </w:tc>
      </w:tr>
      <w:tr>
        <w:trPr>
          <w:trHeight w:val="115"/>
        </w:trPr>
        <w:tc>
          <w:tcPr>
            <w:tcW w:w="13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Accretion of preferred</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1"/>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redemption value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2,987</w:t>
            </w:r>
          </w:p>
        </w:tc>
        <w:tc>
          <w:tcPr>
            <w:tcW w:w="40" w:type="dxa"/>
            <w:vAlign w:val="bottom"/>
            <w:shd w:val="clear" w:color="auto" w:fill="CCEEFF"/>
          </w:tcPr>
          <w:p>
            <w:pPr>
              <w:spacing w:after="0"/>
              <w:rPr>
                <w:sz w:val="13"/>
                <w:szCs w:val="13"/>
                <w:color w:val="auto"/>
              </w:rPr>
            </w:pPr>
          </w:p>
        </w:tc>
      </w:tr>
      <w:tr>
        <w:trPr>
          <w:trHeight w:val="119"/>
        </w:trPr>
        <w:tc>
          <w:tcPr>
            <w:tcW w:w="134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as of June 30,</w:t>
            </w: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22,000,000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82,002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23,983,789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94,833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7,913,872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33,612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20,327,789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108,892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11,818,754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104,156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14,799,427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240,665</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w w:val="99"/>
              </w:rPr>
              <w:t>100,843,631</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664,160</w:t>
            </w: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2"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14" w:lineRule="exact"/>
        <w:rPr>
          <w:rFonts w:ascii="Times New Roman" w:cs="Times New Roman" w:eastAsia="Times New Roman" w:hAnsi="Times New Roman"/>
          <w:sz w:val="18"/>
          <w:szCs w:val="18"/>
          <w:b w:val="1"/>
          <w:bCs w:val="1"/>
          <w:color w:val="auto"/>
        </w:rPr>
      </w:pPr>
    </w:p>
    <w:p>
      <w:pPr>
        <w:ind w:left="64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is the amount of net loss available to each share of ordinary shares outstanding during the reporting period. Diluted net loss per share is the amount of net loss available to each share of ordinary shares outstanding during the reporting period adjusted to include the effect of potentially dilutive ordinary equivalent shares.</w:t>
      </w:r>
    </w:p>
    <w:p>
      <w:pPr>
        <w:spacing w:after="0" w:line="69" w:lineRule="exact"/>
        <w:rPr>
          <w:rFonts w:ascii="Times New Roman" w:cs="Times New Roman" w:eastAsia="Times New Roman" w:hAnsi="Times New Roman"/>
          <w:sz w:val="18"/>
          <w:szCs w:val="18"/>
          <w:b w:val="1"/>
          <w:bCs w:val="1"/>
          <w:color w:val="auto"/>
        </w:rPr>
      </w:pPr>
    </w:p>
    <w:p>
      <w:pPr>
        <w:ind w:left="64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2022, the Company completed the Reorganization and issued 54,642,638 ordinary shares, of which 47,812,308 ordinary shares were outstanding, and issued 100,843,631 preferred shares which had the same number and terms of preferred shares originally issued by EW immediately before the Reorganization completion (See Note 15 and 16).</w:t>
      </w:r>
    </w:p>
    <w:p>
      <w:pPr>
        <w:spacing w:after="0" w:line="69" w:lineRule="exact"/>
        <w:rPr>
          <w:rFonts w:ascii="Times New Roman" w:cs="Times New Roman" w:eastAsia="Times New Roman" w:hAnsi="Times New Roman"/>
          <w:sz w:val="18"/>
          <w:szCs w:val="18"/>
          <w:b w:val="1"/>
          <w:bCs w:val="1"/>
          <w:color w:val="auto"/>
        </w:rPr>
      </w:pPr>
    </w:p>
    <w:p>
      <w:pPr>
        <w:ind w:left="6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the basic and diluted loss per share for the periods presented, the effect of the Reorganization was accounted for in a manner similar to a stock split or stock dividend which was accounted for in accordance with ASC 260. Thus, the number of the ordinary shares and preferred shares newly issued by the Company was retrospectively included since the beginning of the earliest period presented or the original issuance date of Predecessors, whichever is later, in calculating the loss per ordinary share.</w:t>
      </w:r>
    </w:p>
    <w:p>
      <w:pPr>
        <w:spacing w:after="0" w:line="74" w:lineRule="exact"/>
        <w:rPr>
          <w:rFonts w:ascii="Times New Roman" w:cs="Times New Roman" w:eastAsia="Times New Roman" w:hAnsi="Times New Roman"/>
          <w:sz w:val="18"/>
          <w:szCs w:val="18"/>
          <w:b w:val="1"/>
          <w:bCs w:val="1"/>
          <w:color w:val="auto"/>
        </w:rPr>
      </w:pPr>
    </w:p>
    <w:p>
      <w:pPr>
        <w:ind w:left="64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and diluted loss per share were calculated in accordance with ASC 260 Earnings per share for the years ended June 30, 2021 and 2022 as below:</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4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40"/>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20" w:type="dxa"/>
            <w:vAlign w:val="bottom"/>
          </w:tcPr>
          <w:p>
            <w:pPr>
              <w:jc w:val="right"/>
              <w:ind w:right="25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Pr>
          <w:p>
            <w:pPr>
              <w:jc w:val="right"/>
              <w:ind w:right="27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(316,037)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(233,426)</w:t>
            </w: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accretion of Predecessors’ preferred shares (i)</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(17,480)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(22,655)</w:t>
            </w:r>
          </w:p>
        </w:tc>
      </w:tr>
      <w:tr>
        <w:trPr>
          <w:trHeight w:val="213"/>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deemed dividends due to extinguishment of Predecessors’ preferred shares (ii)</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(197,436)</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7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Accretion of the Company’s preferred shares for the period from Reorganization completion date to June 30,</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980" w:type="dxa"/>
            <w:vAlign w:val="bottom"/>
            <w:shd w:val="clear" w:color="auto" w:fill="CCEEFF"/>
          </w:tcPr>
          <w:p>
            <w:pPr>
              <w:jc w:val="right"/>
              <w:ind w:right="7391"/>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(2,987)</w:t>
            </w:r>
          </w:p>
        </w:tc>
      </w:tr>
      <w:tr>
        <w:trPr>
          <w:trHeight w:val="21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QuantaSing Group Limited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(530,953)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(259,068)</w:t>
            </w: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 basic and diluted (iii)</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41,206,648</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49,270,950</w:t>
            </w:r>
          </w:p>
        </w:tc>
        <w:tc>
          <w:tcPr>
            <w:tcW w:w="14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r>
    </w:tbl>
    <w:p>
      <w:pPr>
        <w:spacing w:after="0" w:line="88" w:lineRule="exact"/>
        <w:rPr>
          <w:sz w:val="20"/>
          <w:szCs w:val="20"/>
          <w:color w:val="auto"/>
        </w:rPr>
      </w:pPr>
    </w:p>
    <w:p>
      <w:pPr>
        <w:jc w:val="both"/>
        <w:ind w:left="640" w:right="160"/>
        <w:spacing w:after="0" w:line="261" w:lineRule="auto"/>
        <w:rPr>
          <w:sz w:val="20"/>
          <w:szCs w:val="20"/>
          <w:color w:val="auto"/>
        </w:rPr>
      </w:pPr>
      <w:r>
        <w:rPr>
          <w:rFonts w:ascii="Times New Roman" w:cs="Times New Roman" w:eastAsia="Times New Roman" w:hAnsi="Times New Roman"/>
          <w:sz w:val="18"/>
          <w:szCs w:val="18"/>
          <w:color w:val="auto"/>
        </w:rPr>
        <w:t>For the purpose of calculating loss per share for the periods before the Step 2 Reorganization, accretion and the deemed dividend incurred by the preferred shares issued by WN and EW (the “Predecessors’ preferred shares”) were allocated to the Listing Businesses based on the relative fair value of the Listing Businesses and the Predecessors group.</w:t>
      </w:r>
    </w:p>
    <w:p>
      <w:pPr>
        <w:spacing w:after="0" w:line="83" w:lineRule="exact"/>
        <w:rPr>
          <w:sz w:val="20"/>
          <w:szCs w:val="20"/>
          <w:color w:val="auto"/>
        </w:rPr>
      </w:pPr>
    </w:p>
    <w:p>
      <w:pPr>
        <w:ind w:left="1160" w:right="880" w:hanging="535"/>
        <w:spacing w:after="0" w:line="275" w:lineRule="auto"/>
        <w:tabs>
          <w:tab w:leader="none" w:pos="11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accretion of Predecessors’ preferred shares to redemption value attributable to the Listing Businesses was RMB17,480 and RMB22,655 for the years ended June 30, 2021 and 2022 respectively.</w:t>
      </w:r>
    </w:p>
    <w:p>
      <w:pPr>
        <w:spacing w:after="0" w:line="70" w:lineRule="exact"/>
        <w:rPr>
          <w:rFonts w:ascii="Times New Roman" w:cs="Times New Roman" w:eastAsia="Times New Roman" w:hAnsi="Times New Roman"/>
          <w:sz w:val="18"/>
          <w:szCs w:val="18"/>
          <w:color w:val="auto"/>
        </w:rPr>
      </w:pPr>
    </w:p>
    <w:p>
      <w:pPr>
        <w:ind w:left="1160" w:right="20" w:hanging="535"/>
        <w:spacing w:after="0" w:line="261" w:lineRule="auto"/>
        <w:tabs>
          <w:tab w:leader="none" w:pos="11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inclusion of a redemption right for series of WN-A, WN-B, WN-B-1 and WN-C was assessed from both quantitative and qualitative perspectives and accounted for as extinguishment of former preferred shares. The difference between the fair value of the new preferred shares and the carrying value of former preferred shares was recognized by WN as a deemed dividend to preferred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60"/>
          </w:cols>
          <w:pgMar w:left="320" w:top="452" w:right="5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shareholders of WN. The deemed dividend attributable to the Listing Businesses was RMB197,436 for the year ended June 30, 2021.</w:t>
      </w:r>
    </w:p>
    <w:p>
      <w:pPr>
        <w:spacing w:after="0" w:line="125" w:lineRule="exact"/>
        <w:rPr>
          <w:sz w:val="20"/>
          <w:szCs w:val="20"/>
          <w:color w:val="auto"/>
        </w:rPr>
      </w:pPr>
    </w:p>
    <w:p>
      <w:pPr>
        <w:ind w:left="1160" w:right="340" w:hanging="535"/>
        <w:spacing w:after="0" w:line="275" w:lineRule="auto"/>
        <w:tabs>
          <w:tab w:leader="none" w:pos="116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are computed using the weighted average number of ordinary shares outstanding during the period, including 232,930 and 2,276,065 vested options with nominal exercise price for the years ended June 30, 2021 and 2022.</w:t>
      </w:r>
    </w:p>
    <w:p>
      <w:pPr>
        <w:spacing w:after="0" w:line="57" w:lineRule="exact"/>
        <w:rPr>
          <w:rFonts w:ascii="Times New Roman" w:cs="Times New Roman" w:eastAsia="Times New Roman" w:hAnsi="Times New Roman"/>
          <w:sz w:val="18"/>
          <w:szCs w:val="18"/>
          <w:color w:val="auto"/>
        </w:rPr>
      </w:pPr>
    </w:p>
    <w:p>
      <w:pPr>
        <w:ind w:left="118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June 30, 2021 and 2022, the Company had potential ordinary shares, including preferred shares, share options and restricted shares. On a weighted average basis, 94,269,515 and 100,843,631 preferred shares, 1,067,177 and 13,021,497 share options, and 13,657,905 and 7,647,753 restricted shares were excluded from the computation of diluted net loss per ordinary share because including them would have had an anti-dilutive effect for the years ended June 30, 2021 and 2022, respectively.</w:t>
      </w:r>
    </w:p>
    <w:p>
      <w:pPr>
        <w:spacing w:after="0" w:line="324" w:lineRule="exact"/>
        <w:rPr>
          <w:rFonts w:ascii="Times New Roman" w:cs="Times New Roman" w:eastAsia="Times New Roman" w:hAnsi="Times New Roman"/>
          <w:sz w:val="18"/>
          <w:szCs w:val="18"/>
          <w:color w:val="auto"/>
        </w:rPr>
      </w:pPr>
    </w:p>
    <w:p>
      <w:pPr>
        <w:ind w:left="620" w:hanging="421"/>
        <w:spacing w:after="0"/>
        <w:tabs>
          <w:tab w:leader="none" w:pos="62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4" w:lineRule="exact"/>
        <w:rPr>
          <w:rFonts w:ascii="Times New Roman" w:cs="Times New Roman" w:eastAsia="Times New Roman" w:hAnsi="Times New Roman"/>
          <w:sz w:val="18"/>
          <w:szCs w:val="18"/>
          <w:b w:val="1"/>
          <w:bCs w:val="1"/>
          <w:color w:val="auto"/>
        </w:rPr>
      </w:pPr>
    </w:p>
    <w:p>
      <w:pPr>
        <w:jc w:val="both"/>
        <w:ind w:left="640" w:right="40"/>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Group’s consolidated financial statements include costs and expenses allocated from the Predecessors for periods prior to the Reorganization, amounted to RMB615,674 and RMB110,640 for the years ended June 30, 2021 and 2022 respectively. In addition, the Predecessors provided cash funding support to the Group to satisfy the Listing Businesses’ working capital requirements. See Note 1(b) for more detailed information.</w:t>
      </w:r>
    </w:p>
    <w:p>
      <w:pPr>
        <w:spacing w:after="0" w:line="5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historically relied on the Predecessors for certain of the Group’s funding.</w:t>
      </w:r>
    </w:p>
    <w:p>
      <w:pPr>
        <w:spacing w:after="0" w:line="112" w:lineRule="exact"/>
        <w:rPr>
          <w:rFonts w:ascii="Times New Roman" w:cs="Times New Roman" w:eastAsia="Times New Roman" w:hAnsi="Times New Roman"/>
          <w:sz w:val="18"/>
          <w:szCs w:val="18"/>
          <w:b w:val="1"/>
          <w:bCs w:val="1"/>
          <w:color w:val="auto"/>
        </w:rPr>
      </w:pPr>
    </w:p>
    <w:p>
      <w:pPr>
        <w:ind w:left="64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the major related parties and their relationships with the Group as of June 30</w:t>
      </w:r>
      <w:r>
        <w:rPr>
          <w:rFonts w:ascii="MS PGothic" w:cs="MS PGothic" w:eastAsia="MS PGothic" w:hAnsi="MS PGothic"/>
          <w:sz w:val="15"/>
          <w:szCs w:val="15"/>
          <w:color w:val="auto"/>
        </w:rPr>
        <w:t>，</w:t>
      </w:r>
      <w:r>
        <w:rPr>
          <w:rFonts w:ascii="Times New Roman" w:cs="Times New Roman" w:eastAsia="Times New Roman" w:hAnsi="Times New Roman"/>
          <w:sz w:val="18"/>
          <w:szCs w:val="18"/>
          <w:color w:val="auto"/>
        </w:rPr>
        <w:t>2021 and June 30, 2022:</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920" w:type="dxa"/>
            <w:vAlign w:val="bottom"/>
          </w:tcPr>
          <w:p>
            <w:pPr>
              <w:spacing w:after="0"/>
              <w:rPr>
                <w:sz w:val="16"/>
                <w:szCs w:val="16"/>
                <w:color w:val="auto"/>
              </w:rPr>
            </w:pPr>
          </w:p>
        </w:tc>
        <w:tc>
          <w:tcPr>
            <w:tcW w:w="49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81"/>
        </w:trPr>
        <w:tc>
          <w:tcPr>
            <w:tcW w:w="142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Mr. Peng Li</w:t>
            </w:r>
          </w:p>
        </w:tc>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The Founder</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 Technology Limited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Baichuan Insurance Brokerage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Shanchangshuiyuan Network Technology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Xingyuejiaohui Network Technology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Shanronghaina Network Technology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Baichuanxianghai Technology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Shuidayuda Co., Ltd.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same shareholders with the Company</w:t>
            </w:r>
          </w:p>
        </w:tc>
      </w:tr>
      <w:tr>
        <w:trPr>
          <w:trHeight w:val="232"/>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Erwan Education Technology Limited</w:t>
            </w:r>
          </w:p>
        </w:tc>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Entity controlled by the Founder</w:t>
            </w:r>
          </w:p>
        </w:tc>
      </w:tr>
      <w:tr>
        <w:trPr>
          <w:trHeight w:val="359"/>
        </w:trPr>
        <w:tc>
          <w:tcPr>
            <w:tcW w:w="1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F-53</w:t>
            </w:r>
          </w:p>
        </w:tc>
      </w:tr>
    </w:tbl>
    <w:p>
      <w:pPr>
        <w:sectPr>
          <w:pgSz w:w="11900" w:h="16838" w:orient="portrait"/>
          <w:cols w:equalWidth="0" w:num="1">
            <w:col w:w="11060"/>
          </w:cols>
          <w:pgMar w:left="320" w:top="452" w:right="5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60" w:hanging="535"/>
        <w:spacing w:after="0"/>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entered into during the year ended June 30, 2021 and 2022 were as follows: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7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8720" w:type="dxa"/>
            <w:vAlign w:val="bottom"/>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720" w:type="dxa"/>
            <w:vAlign w:val="bottom"/>
          </w:tcPr>
          <w:p>
            <w:pPr>
              <w:spacing w:after="0"/>
              <w:rPr>
                <w:sz w:val="12"/>
                <w:szCs w:val="12"/>
                <w:color w:val="auto"/>
              </w:rPr>
            </w:pPr>
          </w:p>
        </w:tc>
        <w:tc>
          <w:tcPr>
            <w:tcW w:w="640" w:type="dxa"/>
            <w:vAlign w:val="bottom"/>
          </w:tcPr>
          <w:p>
            <w:pPr>
              <w:jc w:val="right"/>
              <w:ind w:right="78"/>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40" w:type="dxa"/>
            <w:vAlign w:val="bottom"/>
          </w:tcPr>
          <w:p>
            <w:pPr>
              <w:jc w:val="right"/>
              <w:ind w:right="13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i w:val="1"/>
                <w:iCs w:val="1"/>
                <w:color w:val="auto"/>
              </w:rPr>
              <w:t>(i) Transactions recorded in revenue</w:t>
            </w:r>
            <w:r>
              <w:rPr>
                <w:rFonts w:ascii="Times New Roman" w:cs="Times New Roman" w:eastAsia="Times New Roman" w:hAnsi="Times New Roman"/>
                <w:sz w:val="24"/>
                <w:szCs w:val="24"/>
                <w:color w:val="auto"/>
                <w:vertAlign w:val="superscript"/>
              </w:rPr>
              <w:t>(1)</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8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(ii) Other transactions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Repayment of borrowings from related parties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(36,763)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(146,182)</w:t>
            </w:r>
          </w:p>
        </w:tc>
        <w:tc>
          <w:tcPr>
            <w:tcW w:w="0" w:type="dxa"/>
            <w:vAlign w:val="bottom"/>
          </w:tcPr>
          <w:p>
            <w:pPr>
              <w:spacing w:after="0"/>
              <w:rPr>
                <w:sz w:val="1"/>
                <w:szCs w:val="1"/>
                <w:color w:val="auto"/>
              </w:rPr>
            </w:pPr>
          </w:p>
        </w:tc>
      </w:tr>
      <w:tr>
        <w:trPr>
          <w:trHeight w:val="21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 Borrowings from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Lending to related parties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(129,427)</w:t>
            </w:r>
          </w:p>
        </w:tc>
        <w:tc>
          <w:tcPr>
            <w:tcW w:w="0" w:type="dxa"/>
            <w:vAlign w:val="bottom"/>
          </w:tcPr>
          <w:p>
            <w:pPr>
              <w:spacing w:after="0"/>
              <w:rPr>
                <w:sz w:val="1"/>
                <w:szCs w:val="1"/>
                <w:color w:val="auto"/>
              </w:rPr>
            </w:pPr>
          </w:p>
        </w:tc>
      </w:tr>
      <w:tr>
        <w:trPr>
          <w:trHeight w:val="21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 Repayment of lending to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Disposal of subsidiaries to related parties</w:t>
            </w:r>
            <w:r>
              <w:rPr>
                <w:rFonts w:ascii="Times New Roman" w:cs="Times New Roman" w:eastAsia="Times New Roman" w:hAnsi="Times New Roman"/>
                <w:sz w:val="24"/>
                <w:szCs w:val="24"/>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160" w:hanging="535"/>
        <w:spacing w:after="0"/>
        <w:tabs>
          <w:tab w:leader="none" w:pos="1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due from/to related parties as of June 30, 2021 and 2022 were as follows: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Due from related parties</w:t>
            </w:r>
          </w:p>
        </w:tc>
        <w:tc>
          <w:tcPr>
            <w:tcW w:w="58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8940" w:type="dxa"/>
            <w:vAlign w:val="bottom"/>
            <w:gridSpan w:val="2"/>
            <w:vMerge w:val="continue"/>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Due from Beijing Baichuan Insurance Brokerage Co., Ltd.</w:t>
            </w:r>
            <w:r>
              <w:rPr>
                <w:rFonts w:ascii="Times New Roman" w:cs="Times New Roman" w:eastAsia="Times New Roman" w:hAnsi="Times New Roman"/>
                <w:sz w:val="24"/>
                <w:szCs w:val="24"/>
                <w:color w:val="auto"/>
                <w:vertAlign w:val="superscript"/>
              </w:rPr>
              <w:t>(1)</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from Predecessors group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 from Shenzhen Shanchangshuiyuan Network Technology Co., Ltd.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from Shenzhen Erwan Education Technology Limited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Other receivable from Beijing Shanronghaina Network Technology Co., Ltd.</w:t>
            </w:r>
            <w:r>
              <w:rPr>
                <w:rFonts w:ascii="Times New Roman" w:cs="Times New Roman" w:eastAsia="Times New Roman" w:hAnsi="Times New Roman"/>
                <w:sz w:val="24"/>
                <w:szCs w:val="24"/>
                <w:color w:val="auto"/>
                <w:vertAlign w:val="superscript"/>
              </w:rPr>
              <w:t>(2)</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from BaichuanXianghai Technology Co., Ltd.</w:t>
            </w: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 from Beijing Baichuan Insurance Brokerage Co. Ltd.</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from Beijing Shuidayuda Co., Ltd.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Predecessors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2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w:t>
      </w:r>
    </w:p>
    <w:p>
      <w:pPr>
        <w:spacing w:after="0" w:line="125" w:lineRule="exact"/>
        <w:rPr>
          <w:sz w:val="20"/>
          <w:szCs w:val="20"/>
          <w:color w:val="auto"/>
        </w:rPr>
      </w:pPr>
    </w:p>
    <w:p>
      <w:pPr>
        <w:jc w:val="both"/>
        <w:ind w:left="1160" w:right="20" w:hanging="535"/>
        <w:spacing w:after="0" w:line="254" w:lineRule="auto"/>
        <w:tabs>
          <w:tab w:leader="none" w:pos="11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Feierlai has been providing marketing services to Beijing Baichuan Insurance Brokerage Co., Ltd. by referring learners to purchase insurance policies and earned commissions for the service, which was recorded as revenues from related parties subsequent to the disposal of Baichuan (Note 19).</w:t>
      </w:r>
    </w:p>
    <w:p>
      <w:pPr>
        <w:ind w:left="1160" w:right="220" w:hanging="535"/>
        <w:spacing w:after="0" w:line="246" w:lineRule="auto"/>
        <w:tabs>
          <w:tab w:leader="none" w:pos="11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disposed of ChangYou Star to Beijing Shanronghaina Network Technology Co., Ltd. at a consideration of RMB22,000 (Note 19), and RMB2,000 of consideration for disposal of Baichuan has not been collected as of June 30, 2022; the amount has been fully collected as of the date of this report.</w:t>
      </w:r>
    </w:p>
    <w:p>
      <w:pPr>
        <w:spacing w:after="0" w:line="1" w:lineRule="exact"/>
        <w:rPr>
          <w:rFonts w:ascii="Times New Roman" w:cs="Times New Roman" w:eastAsia="Times New Roman" w:hAnsi="Times New Roman"/>
          <w:sz w:val="18"/>
          <w:szCs w:val="18"/>
          <w:color w:val="auto"/>
        </w:rPr>
      </w:pPr>
    </w:p>
    <w:p>
      <w:pPr>
        <w:ind w:left="1160" w:right="60" w:hanging="535"/>
        <w:spacing w:after="0" w:line="253" w:lineRule="auto"/>
        <w:tabs>
          <w:tab w:leader="none" w:pos="11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loans to related parties were unsecured and with maturity of less than a year. The loans receivable have been fully collected as of the date of this report.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occurred in the years presented.</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60"/>
          </w:cols>
          <w:pgMar w:left="320" w:top="452" w:right="5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Baichuan</w:t>
      </w:r>
    </w:p>
    <w:p>
      <w:pPr>
        <w:spacing w:after="0" w:line="114" w:lineRule="exact"/>
        <w:rPr>
          <w:rFonts w:ascii="Times New Roman" w:cs="Times New Roman" w:eastAsia="Times New Roman" w:hAnsi="Times New Roman"/>
          <w:sz w:val="18"/>
          <w:szCs w:val="18"/>
          <w:b w:val="1"/>
          <w:bCs w:val="1"/>
          <w:color w:val="auto"/>
        </w:rPr>
      </w:pPr>
    </w:p>
    <w:p>
      <w:pPr>
        <w:ind w:left="640" w:right="1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 2022, 100% equity of ChangYou Star was disposed of to Beijing Shanronghaina Network Technology Co., Ltd., an entity controlled by the same group of shareholders with the Company with the same shareholder ownership percentages for a consideration of RMB50,000, of which RMB28,000 was waived upon the Step 2 Reorganization. The transaction is a transfer among entities that have a high degree of common ownership and determined to lack economic substance and is accounted for in a manner similar to a disposal under common control pursuant to ASC 360-10. Any difference between the proceeds received by the transferring entity and the book value of the disposal Group (after impairment included in earnings, if any) was recognized as a capital transaction and no gain or loss was recorded. As such, RMB500 was recognized as a dividend to the shareholders, which represents the difference between the proceeds of RMB22,000 and the disposal Group’s net carrying value. The Management does not consider the disposal is a strategic shift with major effect and determined that discontinued operations reporting is not applicable.</w:t>
      </w:r>
    </w:p>
    <w:p>
      <w:pPr>
        <w:spacing w:after="0" w:line="331" w:lineRule="exact"/>
        <w:rPr>
          <w:rFonts w:ascii="Times New Roman" w:cs="Times New Roman" w:eastAsia="Times New Roman" w:hAnsi="Times New Roman"/>
          <w:sz w:val="18"/>
          <w:szCs w:val="18"/>
          <w:b w:val="1"/>
          <w:bCs w:val="1"/>
          <w:color w:val="auto"/>
        </w:rPr>
      </w:pPr>
    </w:p>
    <w:p>
      <w:pPr>
        <w:ind w:left="640" w:right="7980" w:hanging="441"/>
        <w:spacing w:after="0" w:line="393" w:lineRule="auto"/>
        <w:tabs>
          <w:tab w:leader="none" w:pos="632"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Operating lease commitment</w:t>
      </w: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June 30, 2022, future minimum commitments under non-cancelable agreements were as follows:</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Payment due by schedule</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2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8"/>
              </w:rPr>
              <w:t>Less than 1 year</w:t>
            </w:r>
          </w:p>
        </w:tc>
        <w:tc>
          <w:tcPr>
            <w:tcW w:w="1480" w:type="dxa"/>
            <w:vAlign w:val="bottom"/>
            <w:gridSpan w:val="3"/>
          </w:tcPr>
          <w:p>
            <w:pPr>
              <w:jc w:val="right"/>
              <w:ind w:right="480"/>
              <w:spacing w:after="0" w:line="140" w:lineRule="exact"/>
              <w:rPr>
                <w:sz w:val="20"/>
                <w:szCs w:val="20"/>
                <w:color w:val="auto"/>
              </w:rPr>
            </w:pPr>
            <w:r>
              <w:rPr>
                <w:rFonts w:ascii="Times New Roman" w:cs="Times New Roman" w:eastAsia="Times New Roman" w:hAnsi="Times New Roman"/>
                <w:sz w:val="14"/>
                <w:szCs w:val="14"/>
                <w:b w:val="1"/>
                <w:bCs w:val="1"/>
                <w:color w:val="auto"/>
              </w:rPr>
              <w:t>1-5 years</w:t>
            </w:r>
          </w:p>
        </w:tc>
        <w:tc>
          <w:tcPr>
            <w:tcW w:w="4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0"/>
        </w:trPr>
        <w:tc>
          <w:tcPr>
            <w:tcW w:w="42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80" w:type="dxa"/>
            <w:vAlign w:val="bottom"/>
            <w:tcBorders>
              <w:top w:val="single" w:sz="8" w:color="auto"/>
            </w:tcBorders>
          </w:tcPr>
          <w:p>
            <w:pPr>
              <w:jc w:val="right"/>
              <w:ind w:right="26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Pr>
          <w:p>
            <w:pPr>
              <w:spacing w:after="0"/>
              <w:rPr>
                <w:sz w:val="12"/>
                <w:szCs w:val="12"/>
                <w:color w:val="auto"/>
              </w:rPr>
            </w:pPr>
          </w:p>
        </w:tc>
        <w:tc>
          <w:tcPr>
            <w:tcW w:w="440" w:type="dxa"/>
            <w:vAlign w:val="bottom"/>
            <w:tcBorders>
              <w:top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rentals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2,384</w:t>
            </w:r>
          </w:p>
        </w:tc>
        <w:tc>
          <w:tcPr>
            <w:tcW w:w="6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640" w:right="120"/>
        <w:spacing w:after="0" w:line="261" w:lineRule="auto"/>
        <w:rPr>
          <w:sz w:val="20"/>
          <w:szCs w:val="20"/>
          <w:color w:val="auto"/>
        </w:rPr>
      </w:pPr>
      <w:r>
        <w:rPr>
          <w:rFonts w:ascii="Times New Roman" w:cs="Times New Roman" w:eastAsia="Times New Roman" w:hAnsi="Times New Roman"/>
          <w:sz w:val="18"/>
          <w:szCs w:val="18"/>
          <w:color w:val="auto"/>
        </w:rPr>
        <w:t>The operating commitments as of June 30, 2022 presented above mainly consist of the short-term lease commitments and leases that have not yet commenced but that created significant rights and obligations for the Company, which are not included in operating lease right-of-use assets and lease liabilities.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4" w:lineRule="exact"/>
        <w:rPr>
          <w:sz w:val="20"/>
          <w:szCs w:val="20"/>
          <w:color w:val="auto"/>
        </w:rPr>
      </w:pPr>
    </w:p>
    <w:p>
      <w:pPr>
        <w:ind w:left="640" w:right="60"/>
        <w:spacing w:after="0" w:line="275" w:lineRule="auto"/>
        <w:rPr>
          <w:sz w:val="20"/>
          <w:szCs w:val="20"/>
          <w:color w:val="auto"/>
        </w:rPr>
      </w:pPr>
      <w:r>
        <w:rPr>
          <w:rFonts w:ascii="Times New Roman" w:cs="Times New Roman" w:eastAsia="Times New Roman" w:hAnsi="Times New Roman"/>
          <w:sz w:val="18"/>
          <w:szCs w:val="18"/>
          <w:color w:val="auto"/>
        </w:rPr>
        <w:t>As of June 30, 2021, and 2022, the Group was not involved in any legal or administrative proceedings that may have a material adverse impact on the Group’s business, financial position results of operations, or cash flows.</w:t>
      </w:r>
    </w:p>
    <w:p>
      <w:pPr>
        <w:spacing w:after="0" w:line="308" w:lineRule="exact"/>
        <w:rPr>
          <w:sz w:val="20"/>
          <w:szCs w:val="20"/>
          <w:color w:val="auto"/>
        </w:rPr>
      </w:pPr>
    </w:p>
    <w:p>
      <w:pPr>
        <w:ind w:left="620" w:hanging="421"/>
        <w:spacing w:after="0"/>
        <w:tabs>
          <w:tab w:leader="none" w:pos="62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4" w:lineRule="exact"/>
        <w:rPr>
          <w:rFonts w:ascii="Times New Roman" w:cs="Times New Roman" w:eastAsia="Times New Roman" w:hAnsi="Times New Roman"/>
          <w:sz w:val="18"/>
          <w:szCs w:val="18"/>
          <w:b w:val="1"/>
          <w:bCs w:val="1"/>
          <w:color w:val="auto"/>
        </w:rPr>
      </w:pPr>
    </w:p>
    <w:p>
      <w:pPr>
        <w:ind w:left="64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evaluated subsequent events through September 29, 2022, which is the date the consolidated financial statements are available to be issued, with no other material events or transactions identified that should have been recorded or disclosed in the consolidated financial statements.</w:t>
      </w:r>
    </w:p>
    <w:p>
      <w:pPr>
        <w:spacing w:after="0" w:line="319" w:lineRule="exact"/>
        <w:rPr>
          <w:rFonts w:ascii="Times New Roman" w:cs="Times New Roman" w:eastAsia="Times New Roman" w:hAnsi="Times New Roman"/>
          <w:sz w:val="18"/>
          <w:szCs w:val="18"/>
          <w:b w:val="1"/>
          <w:bCs w:val="1"/>
          <w:color w:val="auto"/>
        </w:rPr>
      </w:pPr>
    </w:p>
    <w:p>
      <w:pPr>
        <w:ind w:left="620" w:hanging="421"/>
        <w:spacing w:after="0"/>
        <w:tabs>
          <w:tab w:leader="none" w:pos="62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 and parent company only condensed financial information</w:t>
      </w:r>
    </w:p>
    <w:p>
      <w:pPr>
        <w:spacing w:after="0" w:line="114" w:lineRule="exact"/>
        <w:rPr>
          <w:rFonts w:ascii="Times New Roman" w:cs="Times New Roman" w:eastAsia="Times New Roman" w:hAnsi="Times New Roman"/>
          <w:sz w:val="18"/>
          <w:szCs w:val="18"/>
          <w:b w:val="1"/>
          <w:bCs w:val="1"/>
          <w:color w:val="auto"/>
        </w:rPr>
      </w:pPr>
    </w:p>
    <w:p>
      <w:pPr>
        <w:ind w:left="64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ability to pay dividends is primarily dependent on the Group receiving distributions of funds from its subsidiaries. Relevant PRC statutory laws and regulations permit payments of dividends by the Group’s subsidiaries and the consolidated VIE incorporated in the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60"/>
          </w:cols>
          <w:pgMar w:left="320" w:top="452" w:right="5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00"/>
        <w:spacing w:after="0" w:line="253" w:lineRule="auto"/>
        <w:rPr>
          <w:sz w:val="20"/>
          <w:szCs w:val="20"/>
          <w:color w:val="auto"/>
        </w:rPr>
      </w:pPr>
      <w:r>
        <w:rPr>
          <w:rFonts w:ascii="Times New Roman" w:cs="Times New Roman" w:eastAsia="Times New Roman" w:hAnsi="Times New Roman"/>
          <w:sz w:val="18"/>
          <w:szCs w:val="18"/>
          <w:color w:val="auto"/>
        </w:rPr>
        <w:t>In accordance with the PRC laws and regulations, statutory reserve funds shall be made and can only be used for specific purposes and are not distributable as cash dividends. As a result of these PRC laws and regulations that require annual appropriations of 10% of net after-tax profits to be set aside prior to payment of dividends as general reserve fund or statutory surplus fund, the Group’s PRC subsidiaries and the consolidated VIE are restricted in their ability to transfer a portion of their net assets to the Company. The restricted portion was RMB203,973 as of June 30, 2022.</w:t>
      </w:r>
    </w:p>
    <w:p>
      <w:pPr>
        <w:spacing w:after="0" w:line="79" w:lineRule="exact"/>
        <w:rPr>
          <w:sz w:val="20"/>
          <w:szCs w:val="20"/>
          <w:color w:val="auto"/>
        </w:rPr>
      </w:pPr>
    </w:p>
    <w:p>
      <w:pPr>
        <w:ind w:left="640" w:right="40"/>
        <w:spacing w:after="0" w:line="251"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its subsidiaries and the consolidated VIE (the “restricted net assets”) in accordance with Securities and Exchange Commission Regulation S-X Rule 4-08 (e) (3), “General Notes to Financial Statements” and concluded that it was applicable for the Company to disclose the condensed financial information for the parent company for the year ended June 30, 2022. The Company concluded that it was not applicable for the Company to disclose the condensed financial information for the parent company for the year ended June 30, 2021, because (i) the Company had not been incorporated as of June 30, 2021 and (ii) the reorganization of the Group has not been completed including the Cayman Islands holding company not yet being the parent company of the subsidiaries and the consolidated VIE in the PRC as of June 30, 2021.</w:t>
      </w:r>
    </w:p>
    <w:p>
      <w:pPr>
        <w:spacing w:after="0" w:line="80"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8"/>
          <w:szCs w:val="18"/>
          <w:color w:val="auto"/>
        </w:rPr>
        <w:t>For the purpose of presenting parent only financial information, the Company records its investments in its subsidiaries under the equity method of accounting. Such investments are presented on the separate condensed balance sheet of the Company as “Investment/(Deficit) in subsidiaries” and the income/(loss) of the subsidiaries is presented as “share of income/(loss) of subsidiaries”. The Company’s net financial interests in the consolidated VIE are presented on the separate condensed balance sheet of the Company as “Net assets/(liabilities) of the VIE, and the income/(loss) of the VIEs is presented as “Income/(Loss) from the VIE”. The condensed statement of operations and comprehensive loss also include share-based compensation expenses pushed down to the Company from Predecessors for the year ended June 30, 2022. 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 The Company did not have significant capital and other commitments or guarantees as of June 30, 2022.</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20"/>
          </w:cols>
          <w:pgMar w:left="320" w:top="452" w:right="5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Condensed balance sheet</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intra-Group companies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640" w:type="dxa"/>
            <w:vAlign w:val="bottom"/>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to intra-Group companies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liabilities of the VIE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664,160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ordinary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ordinary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Accumulative deficit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0" w:type="dxa"/>
            <w:vAlign w:val="bottom"/>
          </w:tcPr>
          <w:p>
            <w:pPr>
              <w:spacing w:after="0"/>
              <w:rPr>
                <w:sz w:val="1"/>
                <w:szCs w:val="1"/>
                <w:color w:val="auto"/>
              </w:rPr>
            </w:pPr>
          </w:p>
        </w:tc>
      </w:tr>
      <w:tr>
        <w:trPr>
          <w:trHeight w:val="219"/>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vMerge w:val="restart"/>
          </w:tcPr>
          <w:p>
            <w:pPr>
              <w:ind w:left="5240"/>
              <w:spacing w:after="0"/>
              <w:rPr>
                <w:sz w:val="20"/>
                <w:szCs w:val="20"/>
                <w:color w:val="auto"/>
              </w:rPr>
            </w:pPr>
            <w:r>
              <w:rPr>
                <w:rFonts w:ascii="Times New Roman" w:cs="Times New Roman" w:eastAsia="Times New Roman" w:hAnsi="Times New Roman"/>
                <w:sz w:val="18"/>
                <w:szCs w:val="18"/>
                <w:color w:val="auto"/>
              </w:rPr>
              <w:t>F-57</w:t>
            </w: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9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Condensed statement of operations and comprehensive loss</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9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(loss)/income: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from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the VIE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880" w:type="dxa"/>
            <w:vAlign w:val="bottom"/>
            <w:gridSpan w:val="2"/>
            <w:vMerge w:val="continue"/>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(233,426)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accretion of Predecessors’ preferred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deemed dividends due to extinguishment of Predecessors’ preferred shares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preferred shares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QuantaSing Group Limited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vMerge w:val="restart"/>
          </w:tcPr>
          <w:p>
            <w:pPr>
              <w:ind w:left="5240"/>
              <w:spacing w:after="0"/>
              <w:rPr>
                <w:sz w:val="20"/>
                <w:szCs w:val="20"/>
                <w:color w:val="auto"/>
              </w:rPr>
            </w:pPr>
            <w:r>
              <w:rPr>
                <w:rFonts w:ascii="Times New Roman" w:cs="Times New Roman" w:eastAsia="Times New Roman" w:hAnsi="Times New Roman"/>
                <w:sz w:val="18"/>
                <w:szCs w:val="18"/>
                <w:color w:val="auto"/>
              </w:rPr>
              <w:t>F-58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9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Condensed statement of cash flows</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5940" w:type="dxa"/>
            <w:vAlign w:val="bottom"/>
            <w:gridSpan w:val="3"/>
          </w:tcPr>
          <w:p>
            <w:pPr>
              <w:jc w:val="center"/>
              <w:ind w:left="4833"/>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6"/>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0"/>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32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provided to subsidiaries</w:t>
            </w:r>
          </w:p>
        </w:tc>
        <w:tc>
          <w:tcPr>
            <w:tcW w:w="5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(127,165)</w:t>
            </w:r>
          </w:p>
        </w:tc>
      </w:tr>
      <w:tr>
        <w:trPr>
          <w:trHeight w:val="219"/>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Loan repaid by subsidiaries</w:t>
            </w:r>
          </w:p>
        </w:tc>
        <w:tc>
          <w:tcPr>
            <w:tcW w:w="50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80,049</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(47,116)</w:t>
            </w:r>
          </w:p>
        </w:tc>
      </w:tr>
      <w:tr>
        <w:trPr>
          <w:trHeight w:val="21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from Predecessors</w:t>
            </w:r>
          </w:p>
        </w:tc>
        <w:tc>
          <w:tcPr>
            <w:tcW w:w="5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 from Predecessors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50,986</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to Predecessors</w:t>
            </w:r>
          </w:p>
        </w:tc>
        <w:tc>
          <w:tcPr>
            <w:tcW w:w="5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(79,981)</w:t>
            </w:r>
          </w:p>
        </w:tc>
      </w:tr>
      <w:tr>
        <w:trPr>
          <w:trHeight w:val="22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50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47,183</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5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50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5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20"/>
                <w:szCs w:val="20"/>
                <w:color w:val="auto"/>
              </w:rPr>
            </w:pPr>
          </w:p>
        </w:tc>
      </w:tr>
      <w:tr>
        <w:trPr>
          <w:trHeight w:val="33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940" w:type="dxa"/>
            <w:vAlign w:val="bottom"/>
            <w:gridSpan w:val="3"/>
          </w:tcPr>
          <w:p>
            <w:pPr>
              <w:jc w:val="right"/>
              <w:ind w:right="5260"/>
              <w:spacing w:after="0"/>
              <w:rPr>
                <w:sz w:val="20"/>
                <w:szCs w:val="20"/>
                <w:color w:val="auto"/>
              </w:rPr>
            </w:pPr>
            <w:r>
              <w:rPr>
                <w:rFonts w:ascii="Times New Roman" w:cs="Times New Roman" w:eastAsia="Times New Roman" w:hAnsi="Times New Roman"/>
                <w:sz w:val="18"/>
                <w:szCs w:val="18"/>
                <w:color w:val="auto"/>
              </w:rPr>
              <w:t>F-59</w:t>
            </w:r>
          </w:p>
        </w:tc>
      </w:tr>
    </w:tbl>
    <w:p>
      <w:pPr>
        <w:sectPr>
          <w:pgSz w:w="11900" w:h="16838" w:orient="portrait"/>
          <w:cols w:equalWidth="0" w:num="1">
            <w:col w:w="11060"/>
          </w:cols>
          <w:pgMar w:left="320" w:top="452" w:right="5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4560"/>
        <w:spacing w:after="0" w:line="308" w:lineRule="auto"/>
        <w:rPr>
          <w:sz w:val="20"/>
          <w:szCs w:val="20"/>
          <w:color w:val="auto"/>
        </w:rPr>
      </w:pPr>
      <w:r>
        <w:rPr>
          <w:rFonts w:ascii="Times New Roman" w:cs="Times New Roman" w:eastAsia="Times New Roman" w:hAnsi="Times New Roman"/>
          <w:sz w:val="17"/>
          <w:szCs w:val="17"/>
          <w:b w:val="1"/>
          <w:bCs w:val="1"/>
          <w:color w:val="auto"/>
        </w:rPr>
        <w:t>UNAUDITED INTERIM CONDENSED CONSOLIDATED BALANCE SHEETS (All amounts in thousands, except for share and per share data, or otherwise noted)</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6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gridSpan w:val="2"/>
          </w:tcPr>
          <w:p>
            <w:pPr>
              <w:jc w:val="center"/>
              <w:ind w:left="255"/>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20" w:type="dxa"/>
            <w:vAlign w:val="bottom"/>
            <w:gridSpan w:val="2"/>
          </w:tcPr>
          <w:p>
            <w:pPr>
              <w:jc w:val="center"/>
              <w:ind w:left="275"/>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2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600" w:type="dxa"/>
            <w:vAlign w:val="bottom"/>
          </w:tcPr>
          <w:p>
            <w:pPr>
              <w:spacing w:after="0"/>
              <w:rPr>
                <w:sz w:val="18"/>
                <w:szCs w:val="18"/>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0" w:type="dxa"/>
            <w:vAlign w:val="bottom"/>
            <w:shd w:val="clear" w:color="auto" w:fill="CCEEFF"/>
          </w:tcPr>
          <w:p>
            <w:pPr>
              <w:jc w:val="center"/>
              <w:ind w:left="2594"/>
              <w:spacing w:after="0"/>
              <w:rPr>
                <w:sz w:val="20"/>
                <w:szCs w:val="20"/>
                <w:color w:val="auto"/>
              </w:rPr>
            </w:pPr>
            <w:r>
              <w:rPr>
                <w:rFonts w:ascii="Times New Roman" w:cs="Times New Roman" w:eastAsia="Times New Roman" w:hAnsi="Times New Roman"/>
                <w:sz w:val="18"/>
                <w:szCs w:val="18"/>
                <w:color w:val="auto"/>
                <w:w w:val="88"/>
              </w:rPr>
              <w:t>11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0" w:type="dxa"/>
            <w:vAlign w:val="bottom"/>
          </w:tcPr>
          <w:p>
            <w:pPr>
              <w:jc w:val="center"/>
              <w:ind w:left="2594"/>
              <w:spacing w:after="0"/>
              <w:rPr>
                <w:sz w:val="20"/>
                <w:szCs w:val="20"/>
                <w:color w:val="auto"/>
              </w:rPr>
            </w:pPr>
            <w:r>
              <w:rPr>
                <w:rFonts w:ascii="Times New Roman" w:cs="Times New Roman" w:eastAsia="Times New Roman" w:hAnsi="Times New Roman"/>
                <w:sz w:val="18"/>
                <w:szCs w:val="18"/>
                <w:color w:val="auto"/>
                <w:w w:val="88"/>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600" w:type="dxa"/>
            <w:vAlign w:val="bottom"/>
            <w:shd w:val="clear" w:color="auto" w:fill="CCEEFF"/>
          </w:tcPr>
          <w:p>
            <w:pPr>
              <w:jc w:val="center"/>
              <w:ind w:left="2594"/>
              <w:spacing w:after="0"/>
              <w:rPr>
                <w:sz w:val="20"/>
                <w:szCs w:val="20"/>
                <w:color w:val="auto"/>
              </w:rPr>
            </w:pPr>
            <w:r>
              <w:rPr>
                <w:rFonts w:ascii="Times New Roman" w:cs="Times New Roman" w:eastAsia="Times New Roman" w:hAnsi="Times New Roman"/>
                <w:sz w:val="18"/>
                <w:szCs w:val="18"/>
                <w:color w:val="auto"/>
                <w:w w:val="88"/>
              </w:rPr>
              <w:t>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600" w:type="dxa"/>
            <w:vAlign w:val="bottom"/>
          </w:tcPr>
          <w:p>
            <w:pPr>
              <w:jc w:val="center"/>
              <w:ind w:left="2594"/>
              <w:spacing w:after="0"/>
              <w:rPr>
                <w:sz w:val="20"/>
                <w:szCs w:val="20"/>
                <w:color w:val="auto"/>
              </w:rPr>
            </w:pPr>
            <w:r>
              <w:rPr>
                <w:rFonts w:ascii="Times New Roman" w:cs="Times New Roman" w:eastAsia="Times New Roman" w:hAnsi="Times New Roman"/>
                <w:sz w:val="18"/>
                <w:szCs w:val="18"/>
                <w:color w:val="auto"/>
                <w:w w:val="88"/>
              </w:rPr>
              <w:t>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563,950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608,859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0" w:type="dxa"/>
            <w:vAlign w:val="bottom"/>
            <w:shd w:val="clear" w:color="auto" w:fill="CCEEFF"/>
          </w:tcPr>
          <w:p>
            <w:pPr>
              <w:jc w:val="center"/>
              <w:ind w:left="2594"/>
              <w:spacing w:after="0"/>
              <w:rPr>
                <w:sz w:val="20"/>
                <w:szCs w:val="20"/>
                <w:color w:val="auto"/>
              </w:rPr>
            </w:pPr>
            <w:r>
              <w:rPr>
                <w:rFonts w:ascii="Times New Roman" w:cs="Times New Roman" w:eastAsia="Times New Roman" w:hAnsi="Times New Roman"/>
                <w:sz w:val="18"/>
                <w:szCs w:val="18"/>
                <w:color w:val="auto"/>
                <w:w w:val="88"/>
              </w:rPr>
              <w:t>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0" w:type="dxa"/>
            <w:vAlign w:val="bottom"/>
          </w:tcPr>
          <w:p>
            <w:pPr>
              <w:jc w:val="center"/>
              <w:ind w:left="2594"/>
              <w:spacing w:after="0"/>
              <w:rPr>
                <w:sz w:val="20"/>
                <w:szCs w:val="20"/>
                <w:color w:val="auto"/>
              </w:rPr>
            </w:pPr>
            <w:r>
              <w:rPr>
                <w:rFonts w:ascii="Times New Roman" w:cs="Times New Roman" w:eastAsia="Times New Roman" w:hAnsi="Times New Roman"/>
                <w:sz w:val="18"/>
                <w:szCs w:val="18"/>
                <w:color w:val="auto"/>
                <w:w w:val="88"/>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39,516</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35,092</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603,466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643,951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F-60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4560"/>
        <w:spacing w:after="0" w:line="308" w:lineRule="auto"/>
        <w:rPr>
          <w:sz w:val="20"/>
          <w:szCs w:val="20"/>
          <w:color w:val="auto"/>
        </w:rPr>
      </w:pPr>
      <w:r>
        <w:rPr>
          <w:rFonts w:ascii="Times New Roman" w:cs="Times New Roman" w:eastAsia="Times New Roman" w:hAnsi="Times New Roman"/>
          <w:sz w:val="17"/>
          <w:szCs w:val="17"/>
          <w:b w:val="1"/>
          <w:bCs w:val="1"/>
          <w:color w:val="auto"/>
        </w:rPr>
        <w:t>UNAUDITED INTERIM CONDENSED CONSOLIDATED BALANCE SHEETS (All amounts in thousands, except for share and per share data, or otherwise noted)</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20" w:type="dxa"/>
            <w:vAlign w:val="bottom"/>
            <w:gridSpan w:val="2"/>
          </w:tcPr>
          <w:p>
            <w:pPr>
              <w:jc w:val="center"/>
              <w:ind w:left="175"/>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4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w w:val="99"/>
              </w:rPr>
              <w:t>Accounts payables (including amounts of the consolidated VIE without recourse to the primary</w:t>
            </w: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beneficiary of RMB45,178 and RMB69,801 as of June 30, 2022 and September 30, 2022,</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Accrued expenses and other current liabilities (including amounts of the consolidated VIE</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without recourse to the primary beneficiary of RMB77,616 and RMB96,862 as of</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June 30,2022 and September 30, 2022, respectively)</w:t>
            </w: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Income tax payable (including amounts of the consolidated VIE without recourse to the</w:t>
            </w: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primary beneficiary of RMB7,298 and RMB13,093 as of June 30, 2022 and September 30,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2022, respectively)</w:t>
            </w: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Contract liabilities, current portion (including amounts of the consolidated VIE without</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recourse to the primary beneficiary of RMB384,729 and RMB436,359 as of June 30, 2022</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September 30, 2022, respectively)</w:t>
            </w:r>
          </w:p>
        </w:tc>
        <w:tc>
          <w:tcPr>
            <w:tcW w:w="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436,359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Advance from customers (including amounts of the consolidated VIE without recourse to the</w:t>
            </w: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primary beneficiary of RMB151,089 and RMB143,125 as of June 30, 2022 and</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September 30, 2022, respectively)</w:t>
            </w: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Operating lease liabilities, current portion (including amounts of the consolidated VIE without</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recourse to the primary beneficiary of RMB14,875 and RMB15,418 as of June 30, 2022 and</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2022, respectively)</w:t>
            </w: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10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713,217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809,561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Contract liabilities, non-current portion (including amounts of the consolidated VIE without</w:t>
            </w: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recourse to the primary beneficiary of RMB8,869 and RMB4,587 as of June 30, 2022 and</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September 30, 2022, respectively)</w:t>
            </w: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Operating lease liabilities, non-current portion (including amounts of the consolidated VIE</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without recourse to the primary beneficiary of RMB6,522 and RMB3,739 as of</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2021 and 2022, respectively)</w:t>
            </w: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10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728,652</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817,919</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19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220" w:type="dxa"/>
            <w:vAlign w:val="bottom"/>
          </w:tcPr>
          <w:p>
            <w:pPr>
              <w:ind w:left="5240"/>
              <w:spacing w:after="0"/>
              <w:rPr>
                <w:sz w:val="20"/>
                <w:szCs w:val="20"/>
                <w:color w:val="auto"/>
              </w:rPr>
            </w:pPr>
            <w:r>
              <w:rPr>
                <w:rFonts w:ascii="Times New Roman" w:cs="Times New Roman" w:eastAsia="Times New Roman" w:hAnsi="Times New Roman"/>
                <w:sz w:val="18"/>
                <w:szCs w:val="18"/>
                <w:color w:val="auto"/>
              </w:rPr>
              <w:t>F-61</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4560"/>
        <w:spacing w:after="0" w:line="308" w:lineRule="auto"/>
        <w:rPr>
          <w:sz w:val="20"/>
          <w:szCs w:val="20"/>
          <w:color w:val="auto"/>
        </w:rPr>
      </w:pPr>
      <w:r>
        <w:rPr>
          <w:rFonts w:ascii="Times New Roman" w:cs="Times New Roman" w:eastAsia="Times New Roman" w:hAnsi="Times New Roman"/>
          <w:sz w:val="17"/>
          <w:szCs w:val="17"/>
          <w:b w:val="1"/>
          <w:bCs w:val="1"/>
          <w:color w:val="auto"/>
        </w:rPr>
        <w:t>UNAUDITED INTERIM CONDENSED CONSOLIDATED BALANCE SHEETS (All amounts in thousands, except for share and per share data, or otherwise noted)</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8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gridSpan w:val="2"/>
          </w:tcPr>
          <w:p>
            <w:pPr>
              <w:jc w:val="center"/>
              <w:ind w:left="55"/>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4"/>
                <w:szCs w:val="14"/>
                <w:color w:val="auto"/>
              </w:rPr>
            </w:pPr>
          </w:p>
        </w:tc>
        <w:tc>
          <w:tcPr>
            <w:tcW w:w="100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A convertible redeemable preferred shares (US$0.0001 par value, 22,000,000 shares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B convertible redeemable preferred shares (US$0.0001 par value, 23,983,789 shares</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94,833</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94,833</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B-1 convertible redeemable preferred shares (US$0.0001 par value, 7,913,872 shares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C convertible redeemable preferred shares (US$0.0001 par value, 20,327,789 shares</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108,892</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110,125</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D convertible redeemable preferred shares (US$0.0001 par value, 11,818,754 shares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104,156</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106,541</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Series E convertible redeemable preferred shares (US$0.0001 par value, 14,799,427 shares</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issued and outstanding as of June 30, 2022 and September 30, 2022,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240,665</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246,516</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664,160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673,629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ordinary shares (US$0.0001 par value; 345,113,731 shares authorized, 4,783,589</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as of June 30, 2022 and September 30, 2022, respectively)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ordinary shares (US$0.0001 par value; 54,042,638 shares authorized, 49,859,049</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as of June 30, 2022 and September 30, 2022, respectively).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106,830</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Accumulative deficit</w:t>
            </w:r>
          </w:p>
        </w:tc>
        <w:tc>
          <w:tcPr>
            <w:tcW w:w="6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(861,151)</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(958,429)</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(789,346)</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(847,597)</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(119,153)</w:t>
            </w:r>
          </w:p>
        </w:tc>
        <w:tc>
          <w:tcPr>
            <w:tcW w:w="0" w:type="dxa"/>
            <w:vAlign w:val="bottom"/>
          </w:tcPr>
          <w:p>
            <w:pPr>
              <w:spacing w:after="0"/>
              <w:rPr>
                <w:sz w:val="1"/>
                <w:szCs w:val="1"/>
                <w:color w:val="auto"/>
              </w:rPr>
            </w:pPr>
          </w:p>
        </w:tc>
      </w:tr>
      <w:tr>
        <w:trPr>
          <w:trHeight w:val="219"/>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643,951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60"/>
          </w:cols>
          <w:pgMar w:left="320" w:top="452" w:right="5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1040"/>
        <w:spacing w:after="0" w:line="277"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 AND COMPREHENSIVE LOSS (All amounts in thousands, except for share and per share data, or otherwise noted)</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4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Note 2(e)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 xml:space="preserve">Revenues </w:t>
            </w:r>
            <w:r>
              <w:rPr>
                <w:rFonts w:ascii="Times New Roman" w:cs="Times New Roman" w:eastAsia="Times New Roman" w:hAnsi="Times New Roman"/>
                <w:sz w:val="18"/>
                <w:szCs w:val="18"/>
                <w:color w:val="auto"/>
                <w:w w:val="99"/>
              </w:rPr>
              <w:t>(including revenue from related parties of nil and RMB30,261 for the three months</w:t>
            </w:r>
          </w:p>
        </w:tc>
        <w:tc>
          <w:tcPr>
            <w:tcW w:w="6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744,041</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92,692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September 30, 2021 and 2022, respectively)</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2(p)</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(86,081)</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(75,062)</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657,960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584,304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(670,172)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(581,158)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(41,976)</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(52,301)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(30,328)</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(44,390)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2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(742,476)</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(677,849)</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(84,516)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(93,545)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 net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(78,469)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(86,903)</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(77,927)</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(97,278)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6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(77,723)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(95,152)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(13,375)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(77,927)</w:t>
            </w:r>
          </w:p>
        </w:tc>
        <w:tc>
          <w:tcPr>
            <w:tcW w:w="2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(97,278)</w:t>
            </w:r>
          </w:p>
        </w:tc>
        <w:tc>
          <w:tcPr>
            <w:tcW w:w="24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(13,674)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accretion of Predecessors’ preferred shares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(6,122)</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6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(9,469)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QuantaSing Group Limited</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(84,049)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(106,747)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(15,005)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 per share</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46,836,816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54,439,786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54,439,786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46,836,816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54,439,786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54,439,786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(12,519)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(12,068)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(17,131)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60"/>
          </w:cols>
          <w:pgMar w:left="320" w:top="452" w:right="5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240"/>
        <w:spacing w:after="0" w:line="258"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INVESTED DEFICIT / SHAREHOLDERS’ DEFICIT</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60" w:type="dxa"/>
            <w:vAlign w:val="bottom"/>
          </w:tcPr>
          <w:p>
            <w:pPr>
              <w:spacing w:after="0"/>
              <w:rPr>
                <w:sz w:val="13"/>
                <w:szCs w:val="13"/>
                <w:color w:val="auto"/>
              </w:rPr>
            </w:pPr>
          </w:p>
        </w:tc>
        <w:tc>
          <w:tcPr>
            <w:tcW w:w="1520" w:type="dxa"/>
            <w:vAlign w:val="bottom"/>
            <w:gridSpan w:val="4"/>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Total invested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920" w:type="dxa"/>
            <w:vAlign w:val="bottom"/>
            <w:gridSpan w:val="3"/>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90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restart"/>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Company’s</w:t>
            </w:r>
          </w:p>
        </w:tc>
        <w:tc>
          <w:tcPr>
            <w:tcW w:w="60" w:type="dxa"/>
            <w:vAlign w:val="bottom"/>
          </w:tcPr>
          <w:p>
            <w:pPr>
              <w:spacing w:after="0"/>
              <w:rPr>
                <w:sz w:val="6"/>
                <w:szCs w:val="6"/>
                <w:color w:val="auto"/>
              </w:rPr>
            </w:pPr>
          </w:p>
        </w:tc>
        <w:tc>
          <w:tcPr>
            <w:tcW w:w="960" w:type="dxa"/>
            <w:vAlign w:val="bottom"/>
            <w:gridSpan w:val="2"/>
            <w:vMerge w:val="restart"/>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deficit /</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9"/>
                <w:szCs w:val="9"/>
                <w:color w:val="auto"/>
              </w:rPr>
            </w:pPr>
          </w:p>
        </w:tc>
        <w:tc>
          <w:tcPr>
            <w:tcW w:w="820" w:type="dxa"/>
            <w:vAlign w:val="bottom"/>
            <w:gridSpan w:val="2"/>
            <w:vMerge w:val="restart"/>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9"/>
                <w:szCs w:val="9"/>
                <w:color w:val="auto"/>
              </w:rPr>
            </w:pPr>
          </w:p>
        </w:tc>
        <w:tc>
          <w:tcPr>
            <w:tcW w:w="960" w:type="dxa"/>
            <w:vAlign w:val="bottom"/>
            <w:gridSpan w:val="2"/>
            <w:vMerge w:val="restart"/>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ind w:right="1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1, 2021</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(279,506)</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Parent Company’s contribution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1(b)</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(77,927)</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(77,927)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Currency translation</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differences</w:t>
            </w:r>
          </w:p>
        </w:tc>
        <w:tc>
          <w:tcPr>
            <w:tcW w:w="5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204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2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5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w w:val="88"/>
              </w:rPr>
              <w:t>204</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(285,288)</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as of July 1, 2022</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w w:val="97"/>
              </w:rPr>
              <w:t>4,783,589</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w:t>
            </w:r>
          </w:p>
        </w:tc>
        <w:tc>
          <w:tcPr>
            <w:tcW w:w="1020" w:type="dxa"/>
            <w:vAlign w:val="bottom"/>
            <w:gridSpan w:val="2"/>
            <w:shd w:val="clear" w:color="auto" w:fill="CCEEFF"/>
          </w:tcPr>
          <w:p>
            <w:pPr>
              <w:jc w:val="center"/>
              <w:ind w:left="131"/>
              <w:spacing w:after="0" w:line="206" w:lineRule="exact"/>
              <w:rPr>
                <w:sz w:val="20"/>
                <w:szCs w:val="20"/>
                <w:color w:val="auto"/>
              </w:rPr>
            </w:pPr>
            <w:r>
              <w:rPr>
                <w:rFonts w:ascii="Times New Roman" w:cs="Times New Roman" w:eastAsia="Times New Roman" w:hAnsi="Times New Roman"/>
                <w:sz w:val="18"/>
                <w:szCs w:val="18"/>
                <w:b w:val="1"/>
                <w:bCs w:val="1"/>
                <w:color w:val="auto"/>
                <w:w w:val="98"/>
              </w:rPr>
              <w:t>49,859,049</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29</w:t>
            </w:r>
          </w:p>
        </w:tc>
        <w:tc>
          <w:tcPr>
            <w:tcW w:w="8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69,934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1,839</w:t>
            </w:r>
          </w:p>
        </w:tc>
        <w:tc>
          <w:tcPr>
            <w:tcW w:w="1100" w:type="dxa"/>
            <w:vAlign w:val="bottom"/>
            <w:gridSpan w:val="3"/>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b w:val="1"/>
                <w:bCs w:val="1"/>
                <w:color w:val="auto"/>
              </w:rPr>
              <w:t>(861,151)</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b w:val="1"/>
                <w:bCs w:val="1"/>
                <w:color w:val="auto"/>
              </w:rPr>
              <w:t>(789,346)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Accretion of the Company’s</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(9,469)</w:t>
            </w:r>
          </w:p>
        </w:tc>
        <w:tc>
          <w:tcPr>
            <w:tcW w:w="8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(97,278)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(97,278)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Currency translation</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differences</w:t>
            </w:r>
          </w:p>
        </w:tc>
        <w:tc>
          <w:tcPr>
            <w:tcW w:w="58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5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shd w:val="clear" w:color="auto" w:fill="CCEEFF"/>
          </w:tcPr>
          <w:p>
            <w:pPr>
              <w:spacing w:after="0"/>
              <w:rPr>
                <w:sz w:val="20"/>
                <w:szCs w:val="20"/>
                <w:color w:val="auto"/>
              </w:rPr>
            </w:pP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4,783,589</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2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8"/>
              </w:rPr>
              <w:t>49,859,049</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106,830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3,965</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(958,429)</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(847,597)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60"/>
          </w:cols>
          <w:pgMar w:left="320" w:top="452" w:right="5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3580"/>
        <w:spacing w:after="0" w:line="277"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 (RMB in thousands, except for share data and per share data, or otherwise noted)</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32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40"/>
        </w:trPr>
        <w:tc>
          <w:tcPr>
            <w:tcW w:w="7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15"/>
        </w:trPr>
        <w:tc>
          <w:tcPr>
            <w:tcW w:w="7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9"/>
                <w:szCs w:val="9"/>
                <w:color w:val="auto"/>
              </w:rPr>
            </w:pPr>
          </w:p>
        </w:tc>
      </w:tr>
      <w:tr>
        <w:trPr>
          <w:trHeight w:val="184"/>
        </w:trPr>
        <w:tc>
          <w:tcPr>
            <w:tcW w:w="7660" w:type="dxa"/>
            <w:vAlign w:val="bottom"/>
          </w:tcPr>
          <w:p>
            <w:pPr>
              <w:spacing w:after="0"/>
              <w:rPr>
                <w:sz w:val="16"/>
                <w:szCs w:val="16"/>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2(e)</w:t>
            </w:r>
          </w:p>
        </w:tc>
      </w:tr>
      <w:tr>
        <w:trPr>
          <w:trHeight w:val="21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(77,927)</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(97,278)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(13,674)</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operating activities: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Provision/(Reversal) of allowance for expected credit losses</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gains from short-term investments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(771)</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(2,990)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(2,270)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(1,798)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(6,596)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(542)</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(15,264)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(21,009)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Pr>
          <w:p>
            <w:pPr>
              <w:spacing w:after="0"/>
              <w:rPr>
                <w:sz w:val="18"/>
                <w:szCs w:val="18"/>
                <w:color w:val="auto"/>
              </w:rPr>
            </w:pP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8"/>
                <w:szCs w:val="18"/>
                <w:color w:val="auto"/>
              </w:rPr>
            </w:pP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44,960</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from customers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(7,964)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(1,120)</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1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(2,795)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1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(5,170)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79,359</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28,464</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4,001</w:t>
            </w:r>
          </w:p>
        </w:tc>
        <w:tc>
          <w:tcPr>
            <w:tcW w:w="120" w:type="dxa"/>
            <w:vAlign w:val="bottom"/>
          </w:tcPr>
          <w:p>
            <w:pPr>
              <w:spacing w:after="0"/>
              <w:rPr>
                <w:sz w:val="19"/>
                <w:szCs w:val="19"/>
                <w:color w:val="auto"/>
              </w:rPr>
            </w:pPr>
          </w:p>
        </w:tc>
      </w:tr>
      <w:tr>
        <w:trPr>
          <w:trHeight w:val="366"/>
        </w:trPr>
        <w:tc>
          <w:tcPr>
            <w:tcW w:w="76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F-65</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(RMB in thousands, except for share data and per share data, or otherwise noted)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0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5"/>
        </w:trPr>
        <w:tc>
          <w:tcPr>
            <w:tcW w:w="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4"/>
        </w:trPr>
        <w:tc>
          <w:tcPr>
            <w:tcW w:w="4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2(e)</w:t>
            </w:r>
          </w:p>
        </w:tc>
        <w:tc>
          <w:tcPr>
            <w:tcW w:w="20" w:type="dxa"/>
            <w:vAlign w:val="bottom"/>
          </w:tcPr>
          <w:p>
            <w:pPr>
              <w:spacing w:after="0"/>
              <w:rPr>
                <w:sz w:val="16"/>
                <w:szCs w:val="16"/>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(264,000)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(58,199)</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income from wealth management products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Consideration received for disposal of subsidiaries</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 provided to related parties</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(39,340)</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 repaid by related parties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(90,055)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153,311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Contribution from Predecessors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loans from Predecessors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 of loans from Predecessors</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(28,460)</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52,202</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41,710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183,901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 period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25,101</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266,427</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37,454</w:t>
            </w: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Restricted cash at beginning of the period</w:t>
            </w:r>
          </w:p>
        </w:tc>
        <w:tc>
          <w:tcPr>
            <w:tcW w:w="10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000000"/>
          </w:tcPr>
          <w:p>
            <w:pPr>
              <w:spacing w:after="0"/>
              <w:rPr>
                <w:sz w:val="18"/>
                <w:szCs w:val="18"/>
                <w:color w:val="auto"/>
              </w:rPr>
            </w:pPr>
          </w:p>
        </w:tc>
      </w:tr>
      <w:tr>
        <w:trPr>
          <w:trHeight w:val="206"/>
        </w:trPr>
        <w:tc>
          <w:tcPr>
            <w:tcW w:w="40" w:type="dxa"/>
            <w:vAlign w:val="bottom"/>
            <w:tcBorders>
              <w:right w:val="single" w:sz="8" w:color="CCEEFF"/>
            </w:tcBorders>
          </w:tcPr>
          <w:p>
            <w:pPr>
              <w:spacing w:after="0"/>
              <w:rPr>
                <w:sz w:val="17"/>
                <w:szCs w:val="17"/>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450,328</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63,306</w:t>
            </w: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63,293</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7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Restricted cash at end of the period</w:t>
            </w:r>
          </w:p>
        </w:tc>
        <w:tc>
          <w:tcPr>
            <w:tcW w:w="10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6"/>
        </w:trPr>
        <w:tc>
          <w:tcPr>
            <w:tcW w:w="40" w:type="dxa"/>
            <w:vAlign w:val="bottom"/>
            <w:tcBorders>
              <w:right w:val="single" w:sz="8" w:color="CCEEFF"/>
            </w:tcBorders>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(9,469)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w:t>
            </w:r>
          </w:p>
        </w:tc>
        <w:tc>
          <w:tcPr>
            <w:tcW w:w="20" w:type="dxa"/>
            <w:vAlign w:val="bottom"/>
          </w:tcPr>
          <w:p>
            <w:pPr>
              <w:spacing w:after="0"/>
              <w:rPr>
                <w:sz w:val="20"/>
                <w:szCs w:val="20"/>
                <w:color w:val="auto"/>
              </w:rPr>
            </w:pPr>
          </w:p>
        </w:tc>
      </w:tr>
    </w:tbl>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60"/>
          </w:cols>
          <w:pgMar w:left="320" w:top="452" w:right="51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right="3060"/>
        <w:spacing w:after="0" w:line="308" w:lineRule="auto"/>
        <w:rPr>
          <w:sz w:val="20"/>
          <w:szCs w:val="20"/>
          <w:color w:val="auto"/>
        </w:rPr>
      </w:pPr>
      <w:r>
        <w:rPr>
          <w:rFonts w:ascii="Times New Roman" w:cs="Times New Roman" w:eastAsia="Times New Roman" w:hAnsi="Times New Roman"/>
          <w:sz w:val="17"/>
          <w:szCs w:val="17"/>
          <w:b w:val="1"/>
          <w:bCs w:val="1"/>
          <w:color w:val="auto"/>
        </w:rPr>
        <w:t>NOTES TO UNAUDITED INTERIM CONDENSED CONSOLIDATED FINANCIAL STATEMENTS (All amounts in thousands, except for share data and per share data, or otherwise noted)</w:t>
      </w:r>
    </w:p>
    <w:p>
      <w:pPr>
        <w:spacing w:after="0" w:line="163" w:lineRule="exact"/>
        <w:rPr>
          <w:sz w:val="20"/>
          <w:szCs w:val="20"/>
          <w:color w:val="auto"/>
        </w:rPr>
      </w:pPr>
    </w:p>
    <w:p>
      <w:pPr>
        <w:ind w:left="620" w:hanging="421"/>
        <w:spacing w:after="0"/>
        <w:tabs>
          <w:tab w:leader="none" w:pos="6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3" w:lineRule="exact"/>
        <w:rPr>
          <w:sz w:val="20"/>
          <w:szCs w:val="20"/>
          <w:color w:val="auto"/>
        </w:rPr>
      </w:pPr>
    </w:p>
    <w:p>
      <w:pPr>
        <w:ind w:left="620" w:hanging="421"/>
        <w:spacing w:after="0"/>
        <w:tabs>
          <w:tab w:leader="none" w:pos="62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QuantaSing Group Limited (the “Company” or “QuantaSing”) was incorporated in the Cayman Islands on February 9, 2022 as an exempted company with limited liability.</w:t>
      </w:r>
    </w:p>
    <w:p>
      <w:pPr>
        <w:spacing w:after="0" w:line="163" w:lineRule="exact"/>
        <w:rPr>
          <w:rFonts w:ascii="Times New Roman" w:cs="Times New Roman" w:eastAsia="Times New Roman" w:hAnsi="Times New Roman"/>
          <w:sz w:val="18"/>
          <w:szCs w:val="18"/>
          <w:b w:val="1"/>
          <w:bCs w:val="1"/>
          <w:i w:val="1"/>
          <w:iCs w:val="1"/>
          <w:color w:val="auto"/>
        </w:rPr>
      </w:pPr>
    </w:p>
    <w:p>
      <w:pPr>
        <w:ind w:left="64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Company is a newly incorporated investment holding company. The Company’s predecessors were Witty network Limited (“Witty network”, or “WN”), and EW Technology Limited (“EW”) (collectively referred to as the “Predecessors”), both of which were incorporated in the Cayman Islands. The Company (and its Predecessors prior to the reorganization), through its subsidiaries and the consolidated variable interest entities (“VIEs”) for which the Company (and its Predecessors) has a controlling financial interest and is the primary beneficiary (together, the “Group”), is principally engaged in the operation of an online platform to provide individual online learning services to the individual learners and enterprise services to financial intermediary enterprises (the “Listing Businesses”) in the People’s Republic of China (the “PRC”, references to “PRC” are to the People’s Republic of China, excluding, for the purposes of the financial statements only, Taiwan, Hong Kong and Macau).</w:t>
      </w:r>
    </w:p>
    <w:p>
      <w:pPr>
        <w:spacing w:after="0" w:line="173" w:lineRule="exact"/>
        <w:rPr>
          <w:rFonts w:ascii="Times New Roman" w:cs="Times New Roman" w:eastAsia="Times New Roman" w:hAnsi="Times New Roman"/>
          <w:sz w:val="18"/>
          <w:szCs w:val="18"/>
          <w:b w:val="1"/>
          <w:bCs w:val="1"/>
          <w:i w:val="1"/>
          <w:iCs w:val="1"/>
          <w:color w:val="auto"/>
        </w:rPr>
      </w:pPr>
    </w:p>
    <w:p>
      <w:pPr>
        <w:ind w:left="640" w:right="8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became the ultimate holding company of the subsidiaries and ultimate beneficial owner of the VIE comprising the Group upon the completion of the reorganization as described in Note 1 (b).</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preparation for the initial listing of the Company’s shares (the “Listing”), a group reorganization was undertaken pursuant to which the Listing Businesses were transferred to a new holding structure under the Company (the “Reorganization”).</w:t>
      </w:r>
    </w:p>
    <w:p>
      <w:pPr>
        <w:spacing w:after="0" w:line="268" w:lineRule="exact"/>
        <w:rPr>
          <w:rFonts w:ascii="Times New Roman" w:cs="Times New Roman" w:eastAsia="Times New Roman" w:hAnsi="Times New Roman"/>
          <w:sz w:val="18"/>
          <w:szCs w:val="18"/>
          <w:b w:val="1"/>
          <w:bCs w:val="1"/>
          <w:i w:val="1"/>
          <w:iCs w:val="1"/>
          <w:color w:val="auto"/>
        </w:rPr>
      </w:pPr>
    </w:p>
    <w:p>
      <w:pPr>
        <w:ind w:left="6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Step 1 Reorganization</w:t>
      </w:r>
    </w:p>
    <w:p>
      <w:pPr>
        <w:spacing w:after="0" w:line="114" w:lineRule="exact"/>
        <w:rPr>
          <w:rFonts w:ascii="Times New Roman" w:cs="Times New Roman" w:eastAsia="Times New Roman" w:hAnsi="Times New Roman"/>
          <w:sz w:val="18"/>
          <w:szCs w:val="18"/>
          <w:b w:val="1"/>
          <w:bCs w:val="1"/>
          <w:i w:val="1"/>
          <w:iCs w:val="1"/>
          <w:color w:val="auto"/>
        </w:rPr>
      </w:pPr>
    </w:p>
    <w:p>
      <w:pPr>
        <w:ind w:left="640" w:right="1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WN was incorporated on January 13, 2017 and undertook a series of financing activities by issuing preferred shares to institutional investors and granted share options to its employees. WN operated its business in the PRC through its subsidiaries and the consolidated VIEs (collectively, the “WN Group”). WN Group operated certain non-listing businesses (the “Old Business”) which was discontinued by the end of June 2019. Since July 2019, WN Group shifted its business strategy and started to operate the Listing Businesses.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20"/>
          </w:cols>
          <w:pgMar w:left="320" w:top="452" w:right="5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Main subsidiaries and consolidated VIEs of WN included:</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direct or</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340" w:type="dxa"/>
            <w:vAlign w:val="bottom"/>
          </w:tcPr>
          <w:p>
            <w:pPr>
              <w:spacing w:after="0"/>
              <w:rPr>
                <w:sz w:val="12"/>
                <w:szCs w:val="12"/>
                <w:color w:val="auto"/>
              </w:rPr>
            </w:pPr>
          </w:p>
        </w:tc>
        <w:tc>
          <w:tcPr>
            <w:tcW w:w="8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320" w:type="dxa"/>
            <w:vAlign w:val="bottom"/>
          </w:tcPr>
          <w:p>
            <w:pPr>
              <w:spacing w:after="0"/>
              <w:rPr>
                <w:sz w:val="12"/>
                <w:szCs w:val="12"/>
                <w:color w:val="auto"/>
              </w:rPr>
            </w:pPr>
          </w:p>
        </w:tc>
        <w:tc>
          <w:tcPr>
            <w:tcW w:w="140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indirect</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economic</w:t>
            </w:r>
          </w:p>
        </w:tc>
        <w:tc>
          <w:tcPr>
            <w:tcW w:w="3000" w:type="dxa"/>
            <w:vAlign w:val="bottom"/>
            <w:vMerge w:val="restart"/>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Wholly owned subsidiaries:</w:t>
            </w: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Beijing Erwan Technology Limited</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(“Beijing Erwan”, or the “WN WFOE”)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27, 2017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Feierlai (Beijing) Technology Limited</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(“Beijing Feierlai”, or the “VIE 1”, or</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“VIE” after the Reorganization)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27, 2016</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Listing Businesses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Dianfengtongdao Technology</w:t>
            </w: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(“Beijing Dianfeng”, or the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Listing Businesses,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“VIE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25, 2017</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PRC</w:t>
            </w:r>
          </w:p>
        </w:tc>
        <w:tc>
          <w:tcPr>
            <w:tcW w:w="17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100%*</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Old Business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940" w:hanging="315"/>
        <w:spacing w:after="0"/>
        <w:tabs>
          <w:tab w:leader="none" w:pos="9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WN WFOE had 100% of beneficial interests in these consolidated VIEs.</w:t>
      </w:r>
    </w:p>
    <w:p>
      <w:pPr>
        <w:spacing w:after="0" w:line="218" w:lineRule="exact"/>
        <w:rPr>
          <w:sz w:val="20"/>
          <w:szCs w:val="20"/>
          <w:color w:val="auto"/>
        </w:rPr>
      </w:pPr>
    </w:p>
    <w:p>
      <w:pPr>
        <w:ind w:left="640" w:right="620"/>
        <w:spacing w:after="0" w:line="261" w:lineRule="auto"/>
        <w:rPr>
          <w:sz w:val="20"/>
          <w:szCs w:val="20"/>
          <w:color w:val="auto"/>
        </w:rPr>
      </w:pPr>
      <w:r>
        <w:rPr>
          <w:rFonts w:ascii="Times New Roman" w:cs="Times New Roman" w:eastAsia="Times New Roman" w:hAnsi="Times New Roman"/>
          <w:sz w:val="18"/>
          <w:szCs w:val="18"/>
          <w:color w:val="auto"/>
        </w:rPr>
        <w:t>EW was incorporated on April 15, 2021. EW, together with its subsidiaries and the consolidated VIE (collectively, the “EW Group”) are established to enable a reorganization, through which they assumed the Listing Businesses previously operated by WN Group (the “Step 1 Reorganization”).</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effect the Step 1 Reorganization, the following steps were undertaken:</w:t>
      </w:r>
    </w:p>
    <w:p>
      <w:pPr>
        <w:spacing w:after="0" w:line="125" w:lineRule="exact"/>
        <w:rPr>
          <w:sz w:val="20"/>
          <w:szCs w:val="20"/>
          <w:color w:val="auto"/>
        </w:rPr>
      </w:pPr>
    </w:p>
    <w:p>
      <w:pPr>
        <w:ind w:left="1160" w:right="480" w:hanging="535"/>
        <w:spacing w:after="0" w:line="275" w:lineRule="auto"/>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February to May 2021, EW, through its subsidiaries in the BVI and Hong Kong, created a subsidiary, Beijing Liangzizhige Technology Limited (“Beijing Liangzi”, or the “EW WFOE”, or the “WFOE”) in the PRC.</w:t>
      </w:r>
    </w:p>
    <w:p>
      <w:pPr>
        <w:spacing w:after="0" w:line="70" w:lineRule="exact"/>
        <w:rPr>
          <w:rFonts w:ascii="Times New Roman" w:cs="Times New Roman" w:eastAsia="Times New Roman" w:hAnsi="Times New Roman"/>
          <w:sz w:val="18"/>
          <w:szCs w:val="18"/>
          <w:color w:val="auto"/>
        </w:rPr>
      </w:pPr>
    </w:p>
    <w:p>
      <w:pPr>
        <w:ind w:left="1160" w:right="120" w:hanging="535"/>
        <w:spacing w:after="0" w:line="275" w:lineRule="auto"/>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2021, the EW WFOE, VIE 1, and legal shareholder of VIE 1, which is an entity controlled by Mr. Peng Li, the founder of the Group (the “Founder”), entered into a series of new contractual arrangements, which enables EW WFOE to consolidate VIE 1.</w:t>
      </w:r>
    </w:p>
    <w:p>
      <w:pPr>
        <w:spacing w:after="0" w:line="70" w:lineRule="exact"/>
        <w:rPr>
          <w:rFonts w:ascii="Times New Roman" w:cs="Times New Roman" w:eastAsia="Times New Roman" w:hAnsi="Times New Roman"/>
          <w:sz w:val="18"/>
          <w:szCs w:val="18"/>
          <w:color w:val="auto"/>
        </w:rPr>
      </w:pPr>
    </w:p>
    <w:p>
      <w:pPr>
        <w:ind w:left="1160" w:right="40" w:hanging="535"/>
        <w:spacing w:after="0" w:line="261" w:lineRule="auto"/>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key employees, contracts, operating assets and liabilities of the WN WFOE, VIE 2 and its subsidiaries related to Listing Businesses were transferred to EW WFOE and VIE 1. However, there continued to have small amount of Listing Businesses in WN Group after May 2021.</w:t>
      </w:r>
    </w:p>
    <w:p>
      <w:pPr>
        <w:spacing w:after="0" w:line="82" w:lineRule="exact"/>
        <w:rPr>
          <w:rFonts w:ascii="Times New Roman" w:cs="Times New Roman" w:eastAsia="Times New Roman" w:hAnsi="Times New Roman"/>
          <w:sz w:val="18"/>
          <w:szCs w:val="18"/>
          <w:color w:val="auto"/>
        </w:rPr>
      </w:pPr>
    </w:p>
    <w:p>
      <w:pPr>
        <w:ind w:left="1160" w:right="100" w:hanging="535"/>
        <w:spacing w:after="0" w:line="261" w:lineRule="auto"/>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 issued ordinary shares and preferred shares on May 31, 2021 to mirror the number and terms of ordinary shares and preferred shares originally issued by WN. EW also issued share options to mirror the number of the share options originally granted by WN (Refer to Note 14 for the modification of the vesting terms of the share options).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Step 1 Reorganization was completed on May 31, 2021.</w:t>
      </w:r>
    </w:p>
    <w:p>
      <w:pPr>
        <w:spacing w:after="0" w:line="112" w:lineRule="exact"/>
        <w:rPr>
          <w:sz w:val="20"/>
          <w:szCs w:val="20"/>
          <w:color w:val="auto"/>
        </w:rPr>
      </w:pPr>
    </w:p>
    <w:p>
      <w:pPr>
        <w:ind w:left="640" w:right="40"/>
        <w:spacing w:after="0" w:line="256" w:lineRule="auto"/>
        <w:rPr>
          <w:sz w:val="20"/>
          <w:szCs w:val="20"/>
          <w:color w:val="auto"/>
        </w:rPr>
      </w:pPr>
      <w:r>
        <w:rPr>
          <w:rFonts w:ascii="Times New Roman" w:cs="Times New Roman" w:eastAsia="Times New Roman" w:hAnsi="Times New Roman"/>
          <w:sz w:val="18"/>
          <w:szCs w:val="18"/>
          <w:color w:val="auto"/>
        </w:rPr>
        <w:t>After the Step 1 Reorganization, EW Group developed insurance brokerage business (the “Brokerage Business”) in addition to the Listing Businesses. Brokerage Business was conducted through Beijing ChangYou Star Network Technology Co., Ltd. (“Changyou Star”), a subsidiary of VIE 1 established for investment holding, and its subsidiary Beijing Baichuan Insurance Brokerage Co., Ltd. (collectively referred to as “Baichuan”).</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060"/>
          </w:cols>
          <w:pgMar w:left="320" w:top="452" w:right="5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Step 2 Reorganization</w:t>
      </w:r>
    </w:p>
    <w:p>
      <w:pPr>
        <w:spacing w:after="0" w:line="114" w:lineRule="exact"/>
        <w:rPr>
          <w:sz w:val="20"/>
          <w:szCs w:val="20"/>
          <w:color w:val="auto"/>
        </w:rPr>
      </w:pPr>
    </w:p>
    <w:p>
      <w:pPr>
        <w:ind w:left="640" w:right="400"/>
        <w:spacing w:after="0" w:line="305" w:lineRule="auto"/>
        <w:rPr>
          <w:sz w:val="20"/>
          <w:szCs w:val="20"/>
          <w:color w:val="auto"/>
        </w:rPr>
      </w:pPr>
      <w:r>
        <w:rPr>
          <w:rFonts w:ascii="Times New Roman" w:cs="Times New Roman" w:eastAsia="Times New Roman" w:hAnsi="Times New Roman"/>
          <w:sz w:val="17"/>
          <w:szCs w:val="17"/>
          <w:color w:val="auto"/>
        </w:rPr>
        <w:t>On February 9, 2022, the Company was incorporated in the Cayman Islands. The Company was established to enable another reorganization, through which it assumed the Listing Businesses previously operated by EW Group and WN Group (the “Step 2 Reorganization”).</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effect the Step 2 Reorganization, the following steps were undertaken:</w:t>
      </w:r>
    </w:p>
    <w:p>
      <w:pPr>
        <w:spacing w:after="0" w:line="125" w:lineRule="exact"/>
        <w:rPr>
          <w:sz w:val="20"/>
          <w:szCs w:val="20"/>
          <w:color w:val="auto"/>
        </w:rPr>
      </w:pPr>
    </w:p>
    <w:p>
      <w:pPr>
        <w:ind w:left="1160" w:right="500" w:hanging="535"/>
        <w:spacing w:after="0" w:line="275" w:lineRule="auto"/>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2022, the VIE 1 disposed of its interest in Baichuan to an entity controlled by the Founder, who in turn was holding the interest in this subsidiary on behalf of all shareholders of the Company.</w:t>
      </w:r>
    </w:p>
    <w:p>
      <w:pPr>
        <w:spacing w:after="0" w:line="70" w:lineRule="exact"/>
        <w:rPr>
          <w:rFonts w:ascii="Times New Roman" w:cs="Times New Roman" w:eastAsia="Times New Roman" w:hAnsi="Times New Roman"/>
          <w:sz w:val="18"/>
          <w:szCs w:val="18"/>
          <w:color w:val="auto"/>
        </w:rPr>
      </w:pPr>
    </w:p>
    <w:p>
      <w:pPr>
        <w:ind w:left="1160" w:right="260" w:hanging="535"/>
        <w:spacing w:after="0" w:line="261" w:lineRule="auto"/>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2022, EW transferred all equity interest in its BVI subsidiary, which holds EW WFOE and controlling financial interest in VIE 1 and its subsidiaries, to the Company. As a result, the Company in return became the ultimate holding company of the subsidiaries and the consolidated VIE conducing the Listing Businesses.</w:t>
      </w:r>
    </w:p>
    <w:p>
      <w:pPr>
        <w:spacing w:after="0" w:line="82" w:lineRule="exact"/>
        <w:rPr>
          <w:rFonts w:ascii="Times New Roman" w:cs="Times New Roman" w:eastAsia="Times New Roman" w:hAnsi="Times New Roman"/>
          <w:sz w:val="18"/>
          <w:szCs w:val="18"/>
          <w:color w:val="auto"/>
        </w:rPr>
      </w:pPr>
    </w:p>
    <w:p>
      <w:pPr>
        <w:ind w:left="1160" w:right="240" w:hanging="535"/>
        <w:spacing w:after="0" w:line="275" w:lineRule="auto"/>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Listing Businesses remained in WN Group (including those operated through WN WFOE, VIE 2 and its subsidiaries) was also transferred to the Company’s subsidiaries and the consolidated VIE (including its subsidiaries).</w:t>
      </w:r>
    </w:p>
    <w:p>
      <w:pPr>
        <w:spacing w:after="0" w:line="70" w:lineRule="exact"/>
        <w:rPr>
          <w:rFonts w:ascii="Times New Roman" w:cs="Times New Roman" w:eastAsia="Times New Roman" w:hAnsi="Times New Roman"/>
          <w:sz w:val="18"/>
          <w:szCs w:val="18"/>
          <w:color w:val="auto"/>
        </w:rPr>
      </w:pPr>
    </w:p>
    <w:p>
      <w:pPr>
        <w:ind w:left="1160" w:right="100" w:hanging="535"/>
        <w:spacing w:after="0" w:line="256" w:lineRule="auto"/>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certain ordinary shares and preferred shares of the Company were issued in connection with the Step 2 Reorganization to mirror the number and terms of ordinary shares and preferred shares originally issued by EW. The share options of the Company were also issued in connection with the Step 2 Reorganization to mirror the number and vesting terms of the share options originally granted by EW.</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Step 2 Reorganization was completed on May 31, 2022.</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completion of the Reorganization, the ownership structure of the subsidiaries and the consolidated VIE of the Group is as follows: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direct or</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36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indirect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economic</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The Company:</w:t>
            </w: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QuantaSing Group Limited (“Company”/“QuantaSing”)</w:t>
            </w:r>
          </w:p>
        </w:tc>
        <w:tc>
          <w:tcPr>
            <w:tcW w:w="12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February 9,</w:t>
            </w:r>
          </w:p>
        </w:tc>
        <w:tc>
          <w:tcPr>
            <w:tcW w:w="13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The Cayman</w:t>
            </w:r>
          </w:p>
        </w:tc>
        <w:tc>
          <w:tcPr>
            <w:tcW w:w="1360" w:type="dxa"/>
            <w:vAlign w:val="bottom"/>
            <w:gridSpan w:val="2"/>
          </w:tcPr>
          <w:p>
            <w:pPr>
              <w:jc w:val="right"/>
              <w:ind w:right="520"/>
              <w:spacing w:after="0" w:line="195" w:lineRule="exact"/>
              <w:rPr>
                <w:sz w:val="20"/>
                <w:szCs w:val="20"/>
                <w:color w:val="auto"/>
              </w:rPr>
            </w:pPr>
            <w:r>
              <w:rPr>
                <w:rFonts w:ascii="Times New Roman" w:cs="Times New Roman" w:eastAsia="Times New Roman" w:hAnsi="Times New Roman"/>
                <w:sz w:val="18"/>
                <w:szCs w:val="18"/>
                <w:color w:val="auto"/>
              </w:rPr>
              <w:t>Holding</w:t>
            </w:r>
          </w:p>
        </w:tc>
        <w:tc>
          <w:tcPr>
            <w:tcW w:w="12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Islands</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company</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Wholly owned subsidiaries (offshore):</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March 22,</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1"/>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Hundreds of Mountains Limited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The BVI</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Witty Digital Technology Limited</w:t>
            </w:r>
          </w:p>
        </w:tc>
        <w:tc>
          <w:tcPr>
            <w:tcW w:w="1260" w:type="dxa"/>
            <w:vAlign w:val="bottom"/>
            <w:gridSpan w:val="2"/>
            <w:shd w:val="clear" w:color="auto" w:fill="CCEEFF"/>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March 29,</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Hong Kong</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31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Wholly owned subsidiaries (onshore):</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Liangzizhige Technology Limited. (the “EW WFOE”, or the</w:t>
            </w:r>
          </w:p>
        </w:tc>
        <w:tc>
          <w:tcPr>
            <w:tcW w:w="1260" w:type="dxa"/>
            <w:vAlign w:val="bottom"/>
            <w:gridSpan w:val="2"/>
            <w:shd w:val="clear" w:color="auto" w:fill="CCEEFF"/>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March 19,</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“WFOE” after the Reorganization)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The PRC</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1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F-69</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direct or</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54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560" w:type="dxa"/>
            <w:vAlign w:val="bottom"/>
          </w:tcPr>
          <w:p>
            <w:pPr>
              <w:spacing w:after="0"/>
              <w:rPr>
                <w:sz w:val="12"/>
                <w:szCs w:val="12"/>
                <w:color w:val="auto"/>
              </w:rPr>
            </w:pPr>
          </w:p>
        </w:tc>
        <w:tc>
          <w:tcPr>
            <w:tcW w:w="134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indirect</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6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Feierlai (Beijing) Technology Co., Ltd. (“Beijing</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Feierlai”, or the “VIE 1”, or the “VIE” after the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Listing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27, 2016</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PRC</w:t>
            </w:r>
          </w:p>
        </w:tc>
        <w:tc>
          <w:tcPr>
            <w:tcW w:w="1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Businesses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VIE’s subsidiaries: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Beijing Shijiwanhe Information Consulting Limited</w:t>
            </w:r>
          </w:p>
        </w:tc>
        <w:tc>
          <w:tcPr>
            <w:tcW w:w="10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August 28,</w:t>
            </w:r>
          </w:p>
        </w:tc>
        <w:tc>
          <w:tcPr>
            <w:tcW w:w="5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The</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Listing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PRC</w:t>
            </w:r>
          </w:p>
        </w:tc>
        <w:tc>
          <w:tcPr>
            <w:tcW w:w="1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Businesses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Denggaoerge Network Technology Limited</w:t>
            </w:r>
          </w:p>
        </w:tc>
        <w:tc>
          <w:tcPr>
            <w:tcW w:w="10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December 24,</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The</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Listing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PRC</w:t>
            </w:r>
          </w:p>
        </w:tc>
        <w:tc>
          <w:tcPr>
            <w:tcW w:w="1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Businesses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940" w:hanging="315"/>
        <w:spacing w:after="0"/>
        <w:tabs>
          <w:tab w:leader="none" w:pos="9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WFOE has 100% of beneficial interests in the consolidated VIE (including its subsidiaries).</w:t>
      </w: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 for the Reorganization</w:t>
      </w:r>
    </w:p>
    <w:p>
      <w:pPr>
        <w:spacing w:after="0" w:line="116"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18"/>
          <w:szCs w:val="18"/>
          <w:color w:val="auto"/>
        </w:rPr>
        <w:t>The Reorganization consists of transferring the Listing Businesses to the Group, which is owned by the same group of shareholders (collectively referred to as the “Parent Company”) of the Company and the Predecessors immediately before and after the Reorganization. Both Step 1 Reorganization and Step 2 Reorganization are considered as a non-substantive capital transaction of the Listing Businesses, as the shareholder ownership percentages immediately before and after these two steps of the Reorganizations were the same. Accordingly, the Reorganization is accounted for in a manner similar to a common control transaction because it is determined that the transfers lack economic substance. Therefore, the accompanying unaudited interim condensed consolidated financial statements of the Group include the assets, liabilities, revenue, expenses, and cash flows that are directly attributable to the Listing Businesses for the periods presented and are prepared as if the corporate structure of the Company after the Reorganization had been in existence throughout the periods presented.</w:t>
      </w:r>
    </w:p>
    <w:p>
      <w:pPr>
        <w:spacing w:after="0" w:line="83" w:lineRule="exact"/>
        <w:rPr>
          <w:sz w:val="20"/>
          <w:szCs w:val="20"/>
          <w:color w:val="auto"/>
        </w:rPr>
      </w:pPr>
    </w:p>
    <w:p>
      <w:pPr>
        <w:ind w:left="640" w:right="40"/>
        <w:spacing w:after="0" w:line="251" w:lineRule="auto"/>
        <w:rPr>
          <w:sz w:val="20"/>
          <w:szCs w:val="20"/>
          <w:color w:val="auto"/>
        </w:rPr>
      </w:pPr>
      <w:r>
        <w:rPr>
          <w:rFonts w:ascii="Times New Roman" w:cs="Times New Roman" w:eastAsia="Times New Roman" w:hAnsi="Times New Roman"/>
          <w:sz w:val="18"/>
          <w:szCs w:val="18"/>
          <w:color w:val="auto"/>
        </w:rPr>
        <w:t>The assets and liabilities are generally stated at historical carrying amounts. Those assets and liabilities that are specifically related to the Listing Businesses are included in the Group’s consolidated balance sheets. Income tax payable is calculated on a separate return basis as if the Group had filed separate tax returns. The Group’s statement of operations and comprehensive loss consists of all the revenues, costs, and expenses of the Listing Businesses, including allocations to the cost of revenues, sales and marketing expenses, research and development expenses, and general and administrative expenses, which were incurred by the Predecessors but related to the Listing Businesses. These allocated costs and expenses are primarily related to office rental expenses, office utilities, information technology support and certain corporate functions, including senior management, finance, legal and human resources, as well as share-based compensation expenses.</w:t>
      </w:r>
    </w:p>
    <w:p>
      <w:pPr>
        <w:spacing w:after="0" w:line="80" w:lineRule="exact"/>
        <w:rPr>
          <w:sz w:val="20"/>
          <w:szCs w:val="20"/>
          <w:color w:val="auto"/>
        </w:rPr>
      </w:pPr>
    </w:p>
    <w:p>
      <w:pPr>
        <w:ind w:left="640" w:right="120"/>
        <w:spacing w:after="0" w:line="253" w:lineRule="auto"/>
        <w:rPr>
          <w:sz w:val="20"/>
          <w:szCs w:val="20"/>
          <w:color w:val="auto"/>
        </w:rPr>
      </w:pPr>
      <w:r>
        <w:rPr>
          <w:rFonts w:ascii="Times New Roman" w:cs="Times New Roman" w:eastAsia="Times New Roman" w:hAnsi="Times New Roman"/>
          <w:sz w:val="18"/>
          <w:szCs w:val="18"/>
          <w:color w:val="auto"/>
        </w:rPr>
        <w:t>Generally, the costs and expenses identified as relating to the Listing Businesses were allocated to the Group; the costs of shared employees were allocated to the Group based on the Group’s headcount as a proportion of total headcount in the Predecessors group; share based compensation expenses were allocated to the Group based on the compensation expenses attributable to employees of the Listing Businesses. These allocations are made on a basis considered reasonable by management. Such presentation may not necessarily reflect the results of operations, financial position and cash flows of the Group had it existed on a stand-alone basis during the period presented.</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60"/>
          </w:cols>
          <w:pgMar w:left="320" w:top="451" w:right="5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60"/>
        <w:spacing w:after="0" w:line="275" w:lineRule="auto"/>
        <w:rPr>
          <w:sz w:val="20"/>
          <w:szCs w:val="20"/>
          <w:color w:val="auto"/>
        </w:rPr>
      </w:pPr>
      <w:r>
        <w:rPr>
          <w:rFonts w:ascii="Times New Roman" w:cs="Times New Roman" w:eastAsia="Times New Roman" w:hAnsi="Times New Roman"/>
          <w:sz w:val="18"/>
          <w:szCs w:val="18"/>
          <w:color w:val="auto"/>
        </w:rPr>
        <w:t>The following tables set forth the cost of revenues, sales and marketing expenses, research and development expenses, and general and administrative expenses allocated from the Predecessors for the three months ended September 30, 2021:</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48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 based</w:t>
            </w:r>
          </w:p>
        </w:tc>
        <w:tc>
          <w:tcPr>
            <w:tcW w:w="3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360" w:type="dxa"/>
            <w:vAlign w:val="bottom"/>
          </w:tcPr>
          <w:p>
            <w:pPr>
              <w:spacing w:after="0"/>
              <w:rPr>
                <w:sz w:val="13"/>
                <w:szCs w:val="13"/>
                <w:color w:val="auto"/>
              </w:rPr>
            </w:pP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940" w:type="dxa"/>
            <w:vAlign w:val="bottom"/>
            <w:gridSpan w:val="2"/>
            <w:vMerge w:val="continue"/>
          </w:tcPr>
          <w:p>
            <w:pPr>
              <w:spacing w:after="0"/>
              <w:rPr>
                <w:sz w:val="14"/>
                <w:szCs w:val="14"/>
                <w:color w:val="auto"/>
              </w:rPr>
            </w:pPr>
          </w:p>
        </w:tc>
        <w:tc>
          <w:tcPr>
            <w:tcW w:w="5700" w:type="dxa"/>
            <w:vAlign w:val="bottom"/>
            <w:gridSpan w:val="2"/>
          </w:tcPr>
          <w:p>
            <w:pPr>
              <w:jc w:val="center"/>
              <w:ind w:left="4775"/>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2"/>
                <w:szCs w:val="12"/>
                <w:color w:val="auto"/>
              </w:rPr>
            </w:pP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540" w:type="dxa"/>
            <w:vAlign w:val="bottom"/>
            <w:tcBorders>
              <w:top w:val="single" w:sz="8" w:color="auto"/>
            </w:tcBorders>
          </w:tcPr>
          <w:p>
            <w:pPr>
              <w:jc w:val="right"/>
              <w:ind w:right="43"/>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20"/>
        <w:spacing w:after="0" w:line="261" w:lineRule="auto"/>
        <w:rPr>
          <w:sz w:val="20"/>
          <w:szCs w:val="20"/>
          <w:color w:val="auto"/>
        </w:rPr>
      </w:pPr>
      <w:r>
        <w:rPr>
          <w:rFonts w:ascii="Times New Roman" w:cs="Times New Roman" w:eastAsia="Times New Roman" w:hAnsi="Times New Roman"/>
          <w:sz w:val="18"/>
          <w:szCs w:val="18"/>
          <w:color w:val="auto"/>
        </w:rPr>
        <w:t>Out of the total costs and expenses of RMB35,577 allocated from the Predecessors for the three months ended September 30, 2021, RMB29,133 is for share based compensation expenses which are recorded as a contribution from the Predecessors. The remaining allocated expenses of RMB6,444 were deemed to be a contribution from the Predecessors as they were agreed to be waived by Predecessors.</w:t>
      </w:r>
    </w:p>
    <w:p>
      <w:pPr>
        <w:spacing w:after="0" w:line="69"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color w:val="auto"/>
        </w:rPr>
        <w:t>As the Reorganization qualifies as a non-substantive transaction with high degree of common ownership, the carrying value of the equity of the Listing Businesses immediately before the Step 2 Reorganization was carried forward to the total equity of the Company immediately after the Reorganization. Considering that a material part of the Listing Businesses was a carve-out business of a larger entity, the Company has determined it was most appropriate not to retrospectively adjust the equity structure for periods before the Step 2 Reorganization completion date, and that the Company’s equity other than accumulated other comprehensive income/(loss) was presented as a single financial statement line item as “Parent Company’s investment” in the balance sheets, and the contribution from or distribution to Predecessors were presented as “Parent Company’s contribution” or “Distribution to Parent Company” in the statements of changes in invested deficit. The Company did not record any ordinary shares or preferred shares on its balance sheet before the Step 2 Reorganization completion.</w:t>
      </w:r>
    </w:p>
    <w:p>
      <w:pPr>
        <w:spacing w:after="0" w:line="83" w:lineRule="exact"/>
        <w:rPr>
          <w:sz w:val="20"/>
          <w:szCs w:val="20"/>
          <w:color w:val="auto"/>
        </w:rPr>
      </w:pPr>
    </w:p>
    <w:p>
      <w:pPr>
        <w:ind w:left="640" w:right="100"/>
        <w:spacing w:after="0" w:line="253" w:lineRule="auto"/>
        <w:rPr>
          <w:sz w:val="20"/>
          <w:szCs w:val="20"/>
          <w:color w:val="auto"/>
        </w:rPr>
      </w:pPr>
      <w:r>
        <w:rPr>
          <w:rFonts w:ascii="Times New Roman" w:cs="Times New Roman" w:eastAsia="Times New Roman" w:hAnsi="Times New Roman"/>
          <w:sz w:val="18"/>
          <w:szCs w:val="18"/>
          <w:color w:val="auto"/>
        </w:rPr>
        <w:t>Upon the date of completion of the Step 2 Reorganization, the following equity line items were initially recognized as follows: (i) ordinary shares based on par value of the shares; (ii) preferred shares based on the portion of the historical carrying value of the Predecessors’ preferred shares attributable to the Listing Businesses using a relative fair value method; (iii) the accumulated deficit was presented based on Listing Businesses’ historical earnings or losses; and (iv) with the amounts allocated to ordinary shares and preferred shares, the debit was recorded in the accumulated deficit. Refer to Note 15 and Note 16 for details of ordinary shares and preferred shares.</w:t>
      </w:r>
    </w:p>
    <w:p>
      <w:pPr>
        <w:spacing w:after="0" w:line="79" w:lineRule="exact"/>
        <w:rPr>
          <w:sz w:val="20"/>
          <w:szCs w:val="20"/>
          <w:color w:val="auto"/>
        </w:rPr>
      </w:pPr>
    </w:p>
    <w:p>
      <w:pPr>
        <w:ind w:left="640" w:right="100"/>
        <w:spacing w:after="0" w:line="252" w:lineRule="auto"/>
        <w:rPr>
          <w:sz w:val="20"/>
          <w:szCs w:val="20"/>
          <w:color w:val="auto"/>
        </w:rPr>
      </w:pPr>
      <w:r>
        <w:rPr>
          <w:rFonts w:ascii="Times New Roman" w:cs="Times New Roman" w:eastAsia="Times New Roman" w:hAnsi="Times New Roman"/>
          <w:sz w:val="18"/>
          <w:szCs w:val="18"/>
          <w:color w:val="auto"/>
        </w:rPr>
        <w:t>In computing basic and diluted loss per share for all of the periods presented, the Reorganization was accounted for in a manner similar to a stock split or stock dividend. Thus, the number of the ordinary shares and preferred shares newly issued by the Company was retrospectively included since the beginning of the earliest period presented or the original issuance date of particular classes of shares by Predecessors, whichever is later, for the purpose of calculating the loss per ordinary share for the period before completion of the Reorganization. Accretion and deemed dividend incurred by Predecessors’ preferred shares were allocated to the Listing Businesses based on the relative fair value of the Listing Businesses and the Predecessors group. Refer to Note 17 for details.</w:t>
      </w:r>
    </w:p>
    <w:p>
      <w:pPr>
        <w:spacing w:after="0" w:line="79" w:lineRule="exact"/>
        <w:rPr>
          <w:sz w:val="20"/>
          <w:szCs w:val="20"/>
          <w:color w:val="auto"/>
        </w:rPr>
      </w:pPr>
    </w:p>
    <w:p>
      <w:pPr>
        <w:ind w:left="640" w:right="580"/>
        <w:spacing w:after="0" w:line="275" w:lineRule="auto"/>
        <w:rPr>
          <w:sz w:val="20"/>
          <w:szCs w:val="20"/>
          <w:color w:val="auto"/>
        </w:rPr>
      </w:pPr>
      <w:r>
        <w:rPr>
          <w:rFonts w:ascii="Times New Roman" w:cs="Times New Roman" w:eastAsia="Times New Roman" w:hAnsi="Times New Roman"/>
          <w:sz w:val="18"/>
          <w:szCs w:val="18"/>
          <w:color w:val="auto"/>
        </w:rPr>
        <w:t>For purposes of presentation in the unaudited interim condensed consolidated statements of cash flows, the cash flow from Predecessors to support the Listing Businesses is presented as contribution from</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60"/>
          </w:cols>
          <w:pgMar w:left="320" w:top="452" w:right="5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0"/>
        <w:spacing w:after="0" w:line="275" w:lineRule="auto"/>
        <w:rPr>
          <w:sz w:val="20"/>
          <w:szCs w:val="20"/>
          <w:color w:val="auto"/>
        </w:rPr>
      </w:pPr>
      <w:r>
        <w:rPr>
          <w:rFonts w:ascii="Times New Roman" w:cs="Times New Roman" w:eastAsia="Times New Roman" w:hAnsi="Times New Roman"/>
          <w:sz w:val="18"/>
          <w:szCs w:val="18"/>
          <w:color w:val="auto"/>
        </w:rPr>
        <w:t>Predecessors or Proceeds from loans from Predecessors depending on whether they were agreed to be waived by Predecessors, which is included in cash flows from financing activities.</w:t>
      </w:r>
    </w:p>
    <w:p>
      <w:pPr>
        <w:spacing w:after="0" w:line="306" w:lineRule="exact"/>
        <w:rPr>
          <w:sz w:val="20"/>
          <w:szCs w:val="20"/>
          <w:color w:val="auto"/>
        </w:rPr>
      </w:pPr>
    </w:p>
    <w:p>
      <w:pPr>
        <w:ind w:left="620" w:hanging="421"/>
        <w:spacing w:after="0"/>
        <w:tabs>
          <w:tab w:leader="none" w:pos="620" w:val="left"/>
        </w:tabs>
        <w:numPr>
          <w:ilvl w:val="0"/>
          <w:numId w:val="1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entity (including the portion of Listing Businesses in the VIE 2 before the Reorganization)</w:t>
      </w:r>
    </w:p>
    <w:p>
      <w:pPr>
        <w:spacing w:after="0" w:line="129" w:lineRule="exact"/>
        <w:rPr>
          <w:rFonts w:ascii="Times New Roman" w:cs="Times New Roman" w:eastAsia="Times New Roman" w:hAnsi="Times New Roman"/>
          <w:sz w:val="18"/>
          <w:szCs w:val="18"/>
          <w:b w:val="1"/>
          <w:bCs w:val="1"/>
          <w:i w:val="1"/>
          <w:iCs w:val="1"/>
          <w:color w:val="auto"/>
        </w:rPr>
      </w:pPr>
    </w:p>
    <w:p>
      <w:pPr>
        <w:ind w:left="1160" w:hanging="535"/>
        <w:spacing w:after="0"/>
        <w:tabs>
          <w:tab w:leader="none" w:pos="11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VIE contractual arrangements (the “VIE Contractual Agreements”)</w:t>
      </w:r>
    </w:p>
    <w:p>
      <w:pPr>
        <w:spacing w:after="0" w:line="112" w:lineRule="exact"/>
        <w:rPr>
          <w:rFonts w:ascii="Times New Roman" w:cs="Times New Roman" w:eastAsia="Times New Roman" w:hAnsi="Times New Roman"/>
          <w:sz w:val="18"/>
          <w:szCs w:val="18"/>
          <w:color w:val="auto"/>
        </w:rPr>
      </w:pPr>
    </w:p>
    <w:p>
      <w:pPr>
        <w:ind w:left="118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subsidiary Beijing Liangzizhige Technology Limited, or the WFOE, has entered into contractual arrangements with the VIE and its shareholder described below, which are referred to as the VIE Contractual Agreements. Through the VIE Contractual Agreements, the Company is able to consolidate the financial statements of the VIE and receives substantially all its economic benefits and residual returns. The VIE Contractual Agreements was effective on May 20, 2021. Prior to the VIE Contractual Agreements, the WN WFOE also entered into similar contractual arrangements with the VIE 1 and VIE 2, and their shareholders, the terms of which are substantially the same as the VIE Contractual Agreements. The contractual agreements among WN WFOE, VIE 1 and its shareholder were terminated immediately before the effectiveness of the VIE Contractual Agreements.</w:t>
      </w:r>
    </w:p>
    <w:p>
      <w:pPr>
        <w:spacing w:after="0" w:line="288"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Rights Proxy Agreement</w:t>
      </w:r>
    </w:p>
    <w:p>
      <w:pPr>
        <w:spacing w:after="0" w:line="116" w:lineRule="exact"/>
        <w:rPr>
          <w:rFonts w:ascii="Times New Roman" w:cs="Times New Roman" w:eastAsia="Times New Roman" w:hAnsi="Times New Roman"/>
          <w:sz w:val="18"/>
          <w:szCs w:val="18"/>
          <w:color w:val="auto"/>
        </w:rPr>
      </w:pPr>
    </w:p>
    <w:p>
      <w:pPr>
        <w:ind w:left="1180" w:right="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voting rights proxy agreement entered into by and among the WFOE, the VIE and its shareholder, the shareholder of the VIE irrevocably appointed and authorized the WFOE or its designee(s) to act on its behalf as exclusive agent and attorney, to the extent permitted by PRC law, with respect to all matters concerning all equity interests held by such shareholder in the VIE, including but not limited to the power to (1) attend shareholders’ meetings, (2) exercise all shareholder’s rights and shareholder’s voting rights that it is entitled under relevant PRC laws and regulations and the articles of association of the VIE, including but not limited to the right to sell, transfer, pledge or dispose of all the equity interests held in part or in whole, and (3) designate and appoint on its behalf the legal representative, directors, supervisors, chief executive officer and other senior management members of the VIE. The voting rights proxy agreement is irrevocable and continuously effective from the execution date until the entire equity interests in the VIE have been transferred to the WFOE or its designee pursuant to the exclusive option agreement or unless otherwise agreed to with written consent by all parties.</w:t>
      </w:r>
    </w:p>
    <w:p>
      <w:pPr>
        <w:spacing w:after="0" w:line="295"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Exclusive consultancy and service agreement</w:t>
      </w:r>
    </w:p>
    <w:p>
      <w:pPr>
        <w:spacing w:after="0" w:line="116" w:lineRule="exact"/>
        <w:rPr>
          <w:rFonts w:ascii="Times New Roman" w:cs="Times New Roman" w:eastAsia="Times New Roman" w:hAnsi="Times New Roman"/>
          <w:sz w:val="18"/>
          <w:szCs w:val="18"/>
          <w:color w:val="auto"/>
        </w:rPr>
      </w:pPr>
    </w:p>
    <w:p>
      <w:pPr>
        <w:ind w:left="1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exclusive consultancy and service agreement entered into by and between the WFOE and the VIE, the WFOE has the exclusive right, during the term of the exclusive consultancy and service agreement, to provide or designate its affiliates to provide complete business support and technical and consulting services to the VIE. In exchange, the VIE shall pay the WFOE in an amount equals to the VIE’s revenues minus any turnover tax, total costs incurred by the VIE, any provisions for statutory reserves and retained earnings, which should be paid on a quarterly basis. The retained earnings should be zero unless the WFOE agrees in writing for any other amount. The WFOE has the right to adjust the above service fee at its sole discretion without prior consent of the VIE. The WFOE shall have exclusive and proprietary rights and interests in all rights, ownership, interests and intellectual properties arising out of or created during the performance of the agreement. The exclusive</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00"/>
          </w:cols>
          <w:pgMar w:left="320" w:top="452" w:right="5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spacing w:after="0" w:line="275" w:lineRule="auto"/>
        <w:rPr>
          <w:sz w:val="20"/>
          <w:szCs w:val="20"/>
          <w:color w:val="auto"/>
        </w:rPr>
      </w:pPr>
      <w:r>
        <w:rPr>
          <w:rFonts w:ascii="Times New Roman" w:cs="Times New Roman" w:eastAsia="Times New Roman" w:hAnsi="Times New Roman"/>
          <w:sz w:val="18"/>
          <w:szCs w:val="18"/>
          <w:color w:val="auto"/>
        </w:rPr>
        <w:t>consultancy and service agreements shall remain effective for ten years from the execution date and shall be extended for another ten years unless confirmed otherwise in writing by the WFOE within three months prior to the expiration date.</w:t>
      </w:r>
    </w:p>
    <w:p>
      <w:pPr>
        <w:spacing w:after="0" w:line="2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116" w:lineRule="exact"/>
        <w:rPr>
          <w:sz w:val="20"/>
          <w:szCs w:val="20"/>
          <w:color w:val="auto"/>
        </w:rPr>
      </w:pPr>
    </w:p>
    <w:p>
      <w:pPr>
        <w:ind w:left="1180"/>
        <w:spacing w:after="0" w:line="264" w:lineRule="auto"/>
        <w:rPr>
          <w:sz w:val="20"/>
          <w:szCs w:val="20"/>
          <w:color w:val="auto"/>
        </w:rPr>
      </w:pPr>
      <w:r>
        <w:rPr>
          <w:rFonts w:ascii="Times New Roman" w:cs="Times New Roman" w:eastAsia="Times New Roman" w:hAnsi="Times New Roman"/>
          <w:sz w:val="17"/>
          <w:szCs w:val="17"/>
          <w:color w:val="auto"/>
        </w:rPr>
        <w:t>Under the exclusive option agreement entered into by and between the WFOE, the VIE and its shareholder, the shareholder of the VIE irrevocably granted the WFOE an exclusive right to purchase, or designate any third-party to purchase, all of its equity interests in the VIE at any time in part or in whole at the sole and absolute discretion of the WFOE to the extent permitted by PRC law and at a purchase price equal to the lowest price permitted by the then-applicable PRC law and regulations at the time of exercise of the options. The shareholder of the VIE shall give all considerations it received within 10 days from the exercise of the options to the WFOE or its designee(s). Without the prior written consent of the WFOE, the VIE and/or its shareholder shall not, among others (1) transfer or otherwise dispose of any equity, assets or business of the VIE, or create any pledge or encumbrance on any equity, assets or business of the VIE, (2) increase or decrease the VIE’s registered capital or change its structure of registered capital, (3) sell, transfer, mortgage, or dispose of in any other manner outside of ordinary course of business any assets of the VIE or any legal or beneficial interests in the material business or revenues of the VIE, or allow any encumbrances thereon of any security interests, (4) enter into any major contracts or terminate any material contracts to which the VIE is a party, or enter into any other contract that may result in any conflicts with the VIE’s existing materials contacts, (5) carry out any transactions that may substantially affect the VIE’s assets, business operations, shareholding structure, or equity investment in third-party entities, (6) appointment or replacement of any director, supervisor, or any management who could be appointed or dismissed by shareholder of the VIE, (7) declare or distribute dividends, (8) dissolute or liquate or terminate the VIE, (9) amend the VIE’s articles of association, or (10) allow the VIE to incur any borrowings or loans. This agreement shall remain in effect until all equity interests in the VIE have been transferred to the WFOE and/or its designee(s) pursuant to this agreement.</w:t>
      </w:r>
    </w:p>
    <w:p>
      <w:pPr>
        <w:spacing w:after="0" w:line="2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116" w:lineRule="exact"/>
        <w:rPr>
          <w:sz w:val="20"/>
          <w:szCs w:val="20"/>
          <w:color w:val="auto"/>
        </w:rPr>
      </w:pPr>
    </w:p>
    <w:p>
      <w:pPr>
        <w:ind w:left="1180" w:right="40"/>
        <w:spacing w:after="0" w:line="249" w:lineRule="auto"/>
        <w:rPr>
          <w:sz w:val="20"/>
          <w:szCs w:val="20"/>
          <w:color w:val="auto"/>
        </w:rPr>
      </w:pPr>
      <w:r>
        <w:rPr>
          <w:rFonts w:ascii="Times New Roman" w:cs="Times New Roman" w:eastAsia="Times New Roman" w:hAnsi="Times New Roman"/>
          <w:sz w:val="18"/>
          <w:szCs w:val="18"/>
          <w:color w:val="auto"/>
        </w:rPr>
        <w:t>Under the equity pledge agreement entered into by and among the WFOE, the VIE and its shareholder, the shareholder of the VIE agrees to pledge all of its equity interests in the VIE to the WFOE as security for performance of the respective obligations of the VIE and its shareholder hereunder and under the exclusive option agreement, the voting rights proxy agreement and the exclusive consultancy and service agreement, and for payment of all the losses and losses of anticipated profits suffered by the WFOE as a result of the VIE or its shareholder’s defaults. If any of the VIE or its shareholder breach its contractual obligations, such WFOE, as the pledgees, may, upon issuing written notice, exercise certain remedy measures, including but not limited to being paid in priority with all pledged equity interests based on monetary evaluation or from the proceeds from auction or sale. The shareholder of the VIE agrees that, without the WFOE’s prior written consent, the shareholder of the VIE shall not transfer the pledged equity interests or place or permit the existence of any security interests or other encumbrances over the pledged equity interest. The WFOE may assign all or any of its rights and obligations under the share pledge agreement to its designee(s) at any time. The equity pledge agreement pledge will become effective on the date thereof and will remain in effect until the fulfillment of all the obligations hereunder and under the exclusive option agreement, the voting rights proxy agreement and the exclusive</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20"/>
          </w:cols>
          <w:pgMar w:left="320" w:top="452" w:right="5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spacing w:after="0" w:line="275" w:lineRule="auto"/>
        <w:rPr>
          <w:sz w:val="20"/>
          <w:szCs w:val="20"/>
          <w:color w:val="auto"/>
        </w:rPr>
      </w:pPr>
      <w:r>
        <w:rPr>
          <w:rFonts w:ascii="Times New Roman" w:cs="Times New Roman" w:eastAsia="Times New Roman" w:hAnsi="Times New Roman"/>
          <w:sz w:val="18"/>
          <w:szCs w:val="18"/>
          <w:color w:val="auto"/>
        </w:rPr>
        <w:t>consultancy and service agreement and the full payment of all the losses and losses of anticipated profits suffered by the relevant WFOE as a result the VIE or its shareholder’s default.</w:t>
      </w:r>
    </w:p>
    <w:p>
      <w:pPr>
        <w:spacing w:after="0" w:line="71" w:lineRule="exact"/>
        <w:rPr>
          <w:sz w:val="20"/>
          <w:szCs w:val="20"/>
          <w:color w:val="auto"/>
        </w:rPr>
      </w:pPr>
    </w:p>
    <w:p>
      <w:pPr>
        <w:ind w:left="1160" w:hanging="535"/>
        <w:spacing w:after="0"/>
        <w:tabs>
          <w:tab w:leader="none" w:pos="11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 relation to the VIE structure</w:t>
      </w:r>
    </w:p>
    <w:p>
      <w:pPr>
        <w:spacing w:after="0" w:line="112" w:lineRule="exact"/>
        <w:rPr>
          <w:rFonts w:ascii="Times New Roman" w:cs="Times New Roman" w:eastAsia="Times New Roman" w:hAnsi="Times New Roman"/>
          <w:sz w:val="18"/>
          <w:szCs w:val="18"/>
          <w:color w:val="auto"/>
        </w:rPr>
      </w:pPr>
    </w:p>
    <w:p>
      <w:pPr>
        <w:ind w:left="118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business is conducted through the VIE (including its subsidiaries, and including the portion of Listing Businesses in the VIE 2 and its subsidiaries) of the Group, of which the Company (and its Predecessors before the Reorganization) is the ultimate primary beneficiary. The Company has concluded that (i) the ownership structure of the VIE is not in violation of any applicable PRC laws or regulations currently in effect and (ii) each of the VIE Contractual Agreements is valid, binding, and enforceable in accordance with their terms and applicable PRC laws or regulations currently in effect. However, uncertainties in the PRC legal system could cause the relevant regulatory authorities to find the current VIE Contractual Agreements and the legal structure to be in violation of any existing or future PRC laws or regulations.</w:t>
      </w:r>
    </w:p>
    <w:p>
      <w:pPr>
        <w:spacing w:after="0" w:line="80" w:lineRule="exact"/>
        <w:rPr>
          <w:rFonts w:ascii="Times New Roman" w:cs="Times New Roman" w:eastAsia="Times New Roman" w:hAnsi="Times New Roman"/>
          <w:sz w:val="18"/>
          <w:szCs w:val="18"/>
          <w:color w:val="auto"/>
        </w:rPr>
      </w:pPr>
    </w:p>
    <w:p>
      <w:pPr>
        <w:ind w:left="11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whether the Group’s corporate structure will be seen as violating the foreign investment rules as the Group is currently leveraging the contractual arrangements to operate certain business in which foreign investors are prohibited from or restricted to investing. If variable interest entities fall within the definition of foreign investment entities, the Group’s ability to use the contractual arrangements with the VIE and the Group’s ability to conduct business through the VIE could be severely limited.</w:t>
      </w:r>
    </w:p>
    <w:p>
      <w:pPr>
        <w:spacing w:after="0" w:line="80" w:lineRule="exact"/>
        <w:rPr>
          <w:rFonts w:ascii="Times New Roman" w:cs="Times New Roman" w:eastAsia="Times New Roman" w:hAnsi="Times New Roman"/>
          <w:sz w:val="18"/>
          <w:szCs w:val="18"/>
          <w:color w:val="auto"/>
        </w:rPr>
      </w:pPr>
    </w:p>
    <w:p>
      <w:pPr>
        <w:ind w:left="11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Group’s corporate structure and the contractual arrangements with the VIE through which the Group conducts its business in the PRC were found to be in violation of any existing or future PRC laws and regulations, the Group’s relevant PRC regulatory authorities could:</w:t>
      </w:r>
    </w:p>
    <w:p>
      <w:pPr>
        <w:spacing w:after="0" w:line="82"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licenses and/or operating licenses of the Group’s PRC entities;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w:t>
      </w:r>
    </w:p>
    <w:p>
      <w:pPr>
        <w:spacing w:after="0" w:line="125" w:lineRule="exact"/>
        <w:rPr>
          <w:rFonts w:ascii="Times New Roman" w:cs="Times New Roman" w:eastAsia="Times New Roman" w:hAnsi="Times New Roman"/>
          <w:sz w:val="18"/>
          <w:szCs w:val="18"/>
          <w:color w:val="auto"/>
        </w:rPr>
      </w:pPr>
    </w:p>
    <w:p>
      <w:pPr>
        <w:ind w:left="1600" w:right="100" w:hanging="324"/>
        <w:spacing w:after="0" w:line="275" w:lineRule="auto"/>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confiscate any income that they deem to be obtained through illegal operations, or impose other requirements with which the Group may not be able to comply;</w:t>
      </w:r>
    </w:p>
    <w:p>
      <w:pPr>
        <w:spacing w:after="0" w:line="70"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place restrictions or onerous conditions on the Group’s operations;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the right to collect revenues;</w:t>
      </w:r>
    </w:p>
    <w:p>
      <w:pPr>
        <w:spacing w:after="0" w:line="125"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 down the Group’s servers or block the Group’s mobile app;</w:t>
      </w:r>
    </w:p>
    <w:p>
      <w:pPr>
        <w:spacing w:after="0" w:line="125" w:lineRule="exact"/>
        <w:rPr>
          <w:rFonts w:ascii="Times New Roman" w:cs="Times New Roman" w:eastAsia="Times New Roman" w:hAnsi="Times New Roman"/>
          <w:sz w:val="18"/>
          <w:szCs w:val="18"/>
          <w:color w:val="auto"/>
        </w:rPr>
      </w:pPr>
    </w:p>
    <w:p>
      <w:pPr>
        <w:jc w:val="both"/>
        <w:ind w:left="1600" w:right="40" w:hanging="324"/>
        <w:spacing w:after="0" w:line="261" w:lineRule="auto"/>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ownership structure or operations, including terminating the contractual arrangements with the VIE and deregistering the equity pledges of the VIE, which in turn would affect the ability to consolidate, derive economic interests from the VIE and their subsidiaries;</w:t>
      </w:r>
    </w:p>
    <w:p>
      <w:pPr>
        <w:spacing w:after="0" w:line="82" w:lineRule="exact"/>
        <w:rPr>
          <w:rFonts w:ascii="Times New Roman" w:cs="Times New Roman" w:eastAsia="Times New Roman" w:hAnsi="Times New Roman"/>
          <w:sz w:val="18"/>
          <w:szCs w:val="18"/>
          <w:color w:val="auto"/>
        </w:rPr>
      </w:pPr>
    </w:p>
    <w:p>
      <w:pPr>
        <w:ind w:left="1600" w:right="500" w:hanging="324"/>
        <w:spacing w:after="0" w:line="275" w:lineRule="auto"/>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use of the proceeds from financing activities to finance the business and operations of the VIE and their subsidiaries; or</w:t>
      </w:r>
    </w:p>
    <w:p>
      <w:pPr>
        <w:spacing w:after="0" w:line="70" w:lineRule="exact"/>
        <w:rPr>
          <w:rFonts w:ascii="Times New Roman" w:cs="Times New Roman" w:eastAsia="Times New Roman" w:hAnsi="Times New Roman"/>
          <w:sz w:val="18"/>
          <w:szCs w:val="18"/>
          <w:color w:val="auto"/>
        </w:rPr>
      </w:pPr>
    </w:p>
    <w:p>
      <w:pPr>
        <w:ind w:left="1600" w:hanging="324"/>
        <w:spacing w:after="0"/>
        <w:tabs>
          <w:tab w:leader="none" w:pos="16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that could be harmful to the Group’s business.</w:t>
      </w:r>
    </w:p>
    <w:p>
      <w:pPr>
        <w:spacing w:after="0" w:line="1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040"/>
          </w:cols>
          <w:pgMar w:left="320" w:top="451" w:right="5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spacing w:after="0" w:line="264" w:lineRule="auto"/>
        <w:rPr>
          <w:sz w:val="20"/>
          <w:szCs w:val="20"/>
          <w:color w:val="auto"/>
        </w:rPr>
      </w:pPr>
      <w:r>
        <w:rPr>
          <w:rFonts w:ascii="Times New Roman" w:cs="Times New Roman" w:eastAsia="Times New Roman" w:hAnsi="Times New Roman"/>
          <w:sz w:val="17"/>
          <w:szCs w:val="17"/>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 or the right to receive its economic benefits, the Group would no longer be able to consolidate the VIE.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it may lead to changes in PRC laws, regulations, and policies or in the interpretation and application of existing laws, regulations, and policies, which may limit legal protections available to the Group to enforce the contractual arrangements should the VIE or the shareholder of the VIE fail to perform their obligations under those arrangements. In addition, shareholder of the VIE is a PRC holding entity beneficially owned by the Founder, chairman of the board of directors and chief executive officer of the Company. The enforceability, and therefore the benefits, of the contractual agreements between the Company and the VIE depend on shareholder enforcing the contracts. There is a risk that shareholder of VIE, who in some cases is also shareholder of the Company may have conflict of interests with the Company in the future or fails to perform their contractual obligations. Given the significance and importance of the VIE, there would be a significant negative impact to the Company if these contracts were not enforced.</w:t>
      </w:r>
    </w:p>
    <w:p>
      <w:pPr>
        <w:spacing w:after="0" w:line="72" w:lineRule="exact"/>
        <w:rPr>
          <w:sz w:val="20"/>
          <w:szCs w:val="20"/>
          <w:color w:val="auto"/>
        </w:rPr>
      </w:pPr>
    </w:p>
    <w:p>
      <w:pPr>
        <w:ind w:left="1180" w:right="40"/>
        <w:spacing w:after="0" w:line="252" w:lineRule="auto"/>
        <w:rPr>
          <w:sz w:val="20"/>
          <w:szCs w:val="20"/>
          <w:color w:val="auto"/>
        </w:rPr>
      </w:pPr>
      <w:r>
        <w:rPr>
          <w:rFonts w:ascii="Times New Roman" w:cs="Times New Roman" w:eastAsia="Times New Roman" w:hAnsi="Times New Roman"/>
          <w:sz w:val="18"/>
          <w:szCs w:val="18"/>
          <w:color w:val="auto"/>
        </w:rPr>
        <w:t>The Group’s operations depend on the VIE to honor their contractual agreements with the Group and the enforceability, and therefore the benefits, of the contractual agreements also depends on the authorization by the shareholder of the VIE to exercise voting rights on all matters requiring shareholder approval in the VIE. The Company believes that the agreements on authorization to exercise shareholder’s voting power are enforceable against each party thereto in accordance with their terms and applicable PRC laws or regulations currently in effect and the possibility that it will no longer be able to be the primary beneficiary and consolidate the VIE as a result of the aforementioned risks and uncertainties is remote.</w:t>
      </w:r>
    </w:p>
    <w:p>
      <w:pPr>
        <w:spacing w:after="0" w:line="79" w:lineRule="exact"/>
        <w:rPr>
          <w:sz w:val="20"/>
          <w:szCs w:val="20"/>
          <w:color w:val="auto"/>
        </w:rPr>
      </w:pPr>
    </w:p>
    <w:p>
      <w:pPr>
        <w:ind w:left="1180" w:right="60"/>
        <w:spacing w:after="0" w:line="265" w:lineRule="auto"/>
        <w:rPr>
          <w:sz w:val="20"/>
          <w:szCs w:val="20"/>
          <w:color w:val="auto"/>
        </w:rPr>
      </w:pPr>
      <w:r>
        <w:rPr>
          <w:rFonts w:ascii="Times New Roman" w:cs="Times New Roman" w:eastAsia="Times New Roman" w:hAnsi="Times New Roman"/>
          <w:sz w:val="17"/>
          <w:szCs w:val="17"/>
          <w:color w:val="auto"/>
        </w:rPr>
        <w:t>In accordance with VIE Contractual Agreements, the Company (1) could exercise all shareholder’s rights of the VIE and has power to direct the activities that most significantly affects the economic performance of the VIE, and (2) receive the economic benefits of the VIE that could be significant to the VIE. Accordingly, the Company is considered as the ultimate primary beneficiary of the VIE and has consolidated the VIE’s financial results of operations, assets, and liabilities in the Company’s unaudited interim condensed consolidated financial statements. Therefore, the Company considers that there are no assets in the VIE that can be used only to settle obligations of the VIE, except for the paid-in capital of the VIE amounting to approximately nil and nil as of June 30, 2022 and September 30, 2022, as well as certain non-distributable statutory reserves amounting to approximately nil and nil as of June 30, 2022 and September 30, 2022. As the VIE are incorporated as limited liability companies under the PRC Company Law, creditors do not have recourse to the general credit of the Company for the liabilities of the VIE. There is currently no contractual arrangement that would require the Company to provide additional financial support to the VIE. As the Group is conducting certain business in the PRC through the VIE, the Group may provide additional financial support on a discretionary basis in the future, which could expose the Group to a loss.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40"/>
          </w:cols>
          <w:pgMar w:left="320" w:top="452" w:right="5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right="280"/>
        <w:spacing w:after="0" w:line="256" w:lineRule="auto"/>
        <w:rPr>
          <w:sz w:val="20"/>
          <w:szCs w:val="20"/>
          <w:color w:val="auto"/>
        </w:rPr>
      </w:pPr>
      <w:r>
        <w:rPr>
          <w:rFonts w:ascii="Times New Roman" w:cs="Times New Roman" w:eastAsia="Times New Roman" w:hAnsi="Times New Roman"/>
          <w:sz w:val="18"/>
          <w:szCs w:val="18"/>
          <w:color w:val="auto"/>
        </w:rPr>
        <w:t>The VIE holds assets with no carrying value in the unaudited interim condensed consolidated balance sheet that are important to the Company’s ability to produce revenue (referred to as unrecognized revenue-producing assets). Unrecognized revenue-producing assets held by the VIE include self-developed App named Qiniu (rebranded from KuaiCai), QianChi (rebranded from BanCai) and Jiangzhen, self-developed courses.</w:t>
      </w:r>
    </w:p>
    <w:p>
      <w:pPr>
        <w:spacing w:after="0" w:line="74" w:lineRule="exact"/>
        <w:rPr>
          <w:sz w:val="20"/>
          <w:szCs w:val="20"/>
          <w:color w:val="auto"/>
        </w:rPr>
      </w:pPr>
    </w:p>
    <w:p>
      <w:pPr>
        <w:ind w:left="1180" w:right="160"/>
        <w:spacing w:after="0" w:line="261" w:lineRule="auto"/>
        <w:rPr>
          <w:sz w:val="20"/>
          <w:szCs w:val="20"/>
          <w:color w:val="auto"/>
        </w:rPr>
      </w:pPr>
      <w:r>
        <w:rPr>
          <w:rFonts w:ascii="Times New Roman" w:cs="Times New Roman" w:eastAsia="Times New Roman" w:hAnsi="Times New Roman"/>
          <w:sz w:val="18"/>
          <w:szCs w:val="18"/>
          <w:color w:val="auto"/>
        </w:rPr>
        <w:t>The following consolidated financial information of the VIE after the elimination of inter-company transactions between the VIE and the subsidiaries of the VIE, and including the portion of Listing Businesses in the VIE 2 and its subsidiaries, was included in the accompanying unaudited interim condensed consolidated financial statements of the Group as follows:</w:t>
      </w:r>
    </w:p>
    <w:p>
      <w:pPr>
        <w:spacing w:after="0" w:line="196"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5"/>
              </w:rPr>
              <w:t>June 30, 2022</w:t>
            </w:r>
          </w:p>
        </w:tc>
        <w:tc>
          <w:tcPr>
            <w:tcW w:w="1960" w:type="dxa"/>
            <w:vAlign w:val="bottom"/>
            <w:tcBorders>
              <w:top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Borders>
              <w:top w:val="single" w:sz="8" w:color="auto"/>
            </w:tcBorders>
          </w:tcPr>
          <w:p>
            <w:pPr>
              <w:jc w:val="right"/>
              <w:ind w:right="17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Pr>
          <w:p>
            <w:pPr>
              <w:spacing w:after="0"/>
              <w:rPr>
                <w:sz w:val="12"/>
                <w:szCs w:val="12"/>
                <w:color w:val="auto"/>
              </w:rPr>
            </w:pPr>
          </w:p>
        </w:tc>
        <w:tc>
          <w:tcPr>
            <w:tcW w:w="1180" w:type="dxa"/>
            <w:vAlign w:val="bottom"/>
            <w:tcBorders>
              <w:top w:val="single" w:sz="8" w:color="auto"/>
            </w:tcBorders>
          </w:tcPr>
          <w:p>
            <w:pPr>
              <w:jc w:val="right"/>
              <w:ind w:right="35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0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from intra-Group companies</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155,960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454,905</w:t>
            </w:r>
          </w:p>
        </w:tc>
        <w:tc>
          <w:tcPr>
            <w:tcW w:w="7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34,718</w:t>
            </w: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489,623</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Accounts payables</w:t>
            </w:r>
          </w:p>
        </w:tc>
        <w:tc>
          <w:tcPr>
            <w:tcW w:w="39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45,178</w:t>
            </w:r>
          </w:p>
        </w:tc>
        <w:tc>
          <w:tcPr>
            <w:tcW w:w="780" w:type="dxa"/>
            <w:vAlign w:val="bottom"/>
          </w:tcPr>
          <w:p>
            <w:pPr>
              <w:spacing w:after="0"/>
              <w:rPr>
                <w:sz w:val="17"/>
                <w:szCs w:val="17"/>
                <w:color w:val="auto"/>
              </w:rPr>
            </w:pPr>
          </w:p>
        </w:tc>
        <w:tc>
          <w:tcPr>
            <w:tcW w:w="11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384,729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 from customers</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151,089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680,785</w:t>
            </w:r>
          </w:p>
        </w:tc>
        <w:tc>
          <w:tcPr>
            <w:tcW w:w="7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3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7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15,391</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696,176</w:t>
            </w: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00" w:type="dxa"/>
            <w:vAlign w:val="bottom"/>
            <w:gridSpan w:val="2"/>
          </w:tcPr>
          <w:p>
            <w:pPr>
              <w:jc w:val="right"/>
              <w:ind w:right="3155"/>
              <w:spacing w:after="0"/>
              <w:rPr>
                <w:sz w:val="20"/>
                <w:szCs w:val="20"/>
                <w:color w:val="auto"/>
              </w:rPr>
            </w:pPr>
            <w:r>
              <w:rPr>
                <w:rFonts w:ascii="Times New Roman" w:cs="Times New Roman" w:eastAsia="Times New Roman" w:hAnsi="Times New Roman"/>
                <w:sz w:val="18"/>
                <w:szCs w:val="18"/>
                <w:color w:val="auto"/>
              </w:rPr>
              <w:t>F-76</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0"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88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ind w:right="141"/>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8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earned from third-party customers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743,662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earned from a related party</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743,662</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 and operating expenses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arising from non intra-Group transactions</w:t>
            </w:r>
          </w:p>
        </w:tc>
        <w:tc>
          <w:tcPr>
            <w:tcW w:w="9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(750,856)</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(642,131)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arising from the intra-Group technical consulting and related service under VIE Contractual Agreements</w:t>
            </w:r>
          </w:p>
        </w:tc>
        <w:tc>
          <w:tcPr>
            <w:tcW w:w="9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(12,736)</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(57,075)</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 and operating expenses</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(763,592</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(699,206)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(13,088)</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(45,398)</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41"/>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63"/>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ind w:left="22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right"/>
              <w:ind w:right="14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transactions with third-parties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used in transactions with intra-Group companies related to technical consulting and related service under VIE</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Contractual Agreements</w:t>
            </w:r>
          </w:p>
        </w:tc>
        <w:tc>
          <w:tcPr>
            <w:tcW w:w="9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(13,000)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third-parties</w:t>
            </w:r>
          </w:p>
        </w:tc>
        <w:tc>
          <w:tcPr>
            <w:tcW w:w="9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(76,074)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related parties</w:t>
            </w:r>
          </w:p>
        </w:tc>
        <w:tc>
          <w:tcPr>
            <w:tcW w:w="9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(21,467)</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intra-Group companies*</w:t>
            </w:r>
          </w:p>
        </w:tc>
        <w:tc>
          <w:tcPr>
            <w:tcW w:w="2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(118,541)</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transactions with Predecessors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2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200" w:hanging="221"/>
        <w:spacing w:after="0" w:line="275" w:lineRule="auto"/>
        <w:tabs>
          <w:tab w:leader="none" w:pos="4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periods presented, the VIE transferred its excess cash to the WFOE for cash management purpose and these amounts were repaid by the WFOE on demand, which were reflected in the cash flows from investing activities with intra-Group companies.</w:t>
      </w:r>
    </w:p>
    <w:p>
      <w:pPr>
        <w:spacing w:after="0" w:line="308" w:lineRule="exact"/>
        <w:rPr>
          <w:sz w:val="20"/>
          <w:szCs w:val="20"/>
          <w:color w:val="auto"/>
        </w:rPr>
      </w:pPr>
    </w:p>
    <w:p>
      <w:pPr>
        <w:ind w:left="620" w:hanging="421"/>
        <w:spacing w:after="0"/>
        <w:tabs>
          <w:tab w:leader="none" w:pos="6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3" w:lineRule="exact"/>
        <w:rPr>
          <w:sz w:val="20"/>
          <w:szCs w:val="20"/>
          <w:color w:val="auto"/>
        </w:rPr>
      </w:pPr>
    </w:p>
    <w:p>
      <w:pPr>
        <w:ind w:left="620" w:hanging="421"/>
        <w:spacing w:after="0"/>
        <w:tabs>
          <w:tab w:leader="none" w:pos="620" w:val="left"/>
        </w:tabs>
        <w:numPr>
          <w:ilvl w:val="0"/>
          <w:numId w:val="1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GAAP”) for interim financial information. Accordingly, they do not include all the information and footnotes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060"/>
          </w:cols>
          <w:pgMar w:left="320" w:top="452" w:right="5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8"/>
          <w:szCs w:val="18"/>
          <w:color w:val="auto"/>
        </w:rPr>
        <w:t>required by U.S. GAAP for complete financial statements. Certain information and note disclosures normally included in the annual financial statements prepared in accordance with U.S. GAAP have been condensed or omitted consistent with Article 10 of Regulation S-X. In the opinion of management, the unaudited interim condensed consolidated financial statements and accompanying notes have been prepared on the same basis as the audited financial statements included all adjustments (consisting of normal recurring adjustments) considered necessary by management to a fair statement of the results of operations, financial position and cash flows for the interim periods presented. The unaudited interim condensed consolidated financial statements and related disclosures have been prepared with the presumption that users of the unaudited interim condensed consolidated financial statements have read or have access to the audited consolidated financial statements for the years ended June 30, 2021 and 2022. Interim results of operations are not necessarily indicative of the results for the full year or for any future periods. These unaudited interim condensed consolidated financial statements should be read in conjunction with the annual audited consolidated financial statements as of and for the years ended June 30, 2021 and 2022 and notes thereto also included herein.</w:t>
      </w:r>
    </w:p>
    <w:p>
      <w:pPr>
        <w:spacing w:after="0" w:line="335" w:lineRule="exact"/>
        <w:rPr>
          <w:sz w:val="20"/>
          <w:szCs w:val="20"/>
          <w:color w:val="auto"/>
        </w:rPr>
      </w:pPr>
    </w:p>
    <w:p>
      <w:pPr>
        <w:ind w:left="620" w:hanging="421"/>
        <w:spacing w:after="0"/>
        <w:tabs>
          <w:tab w:leader="none" w:pos="620" w:val="left"/>
        </w:tabs>
        <w:numPr>
          <w:ilvl w:val="0"/>
          <w:numId w:val="1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unaudited interim condensed consolidated financial statements include the financial statements of the Company, its subsidiaries, and the consolidated VIE (including its subsidiaries).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2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69" w:lineRule="exact"/>
        <w:rPr>
          <w:rFonts w:ascii="Times New Roman" w:cs="Times New Roman" w:eastAsia="Times New Roman" w:hAnsi="Times New Roman"/>
          <w:sz w:val="18"/>
          <w:szCs w:val="18"/>
          <w:b w:val="1"/>
          <w:bCs w:val="1"/>
          <w:i w:val="1"/>
          <w:iCs w:val="1"/>
          <w:color w:val="auto"/>
        </w:rPr>
      </w:pPr>
    </w:p>
    <w:p>
      <w:pPr>
        <w:ind w:left="640" w:right="1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VIE is an entity in which the Company, or its subsidiary, through contractual arrangements, has the power to direct the activities that most impact the entities’ economic performance, bears the risks of, and enjoys the rewards normally associated with the controlling financial interest in the entity, and therefore the Company or its subsidiary is the primary beneficiary of the entities.</w:t>
      </w:r>
    </w:p>
    <w:p>
      <w:pPr>
        <w:spacing w:after="0" w:line="69" w:lineRule="exact"/>
        <w:rPr>
          <w:rFonts w:ascii="Times New Roman" w:cs="Times New Roman" w:eastAsia="Times New Roman" w:hAnsi="Times New Roman"/>
          <w:sz w:val="18"/>
          <w:szCs w:val="18"/>
          <w:b w:val="1"/>
          <w:bCs w:val="1"/>
          <w:i w:val="1"/>
          <w:iCs w:val="1"/>
          <w:color w:val="auto"/>
        </w:rPr>
      </w:pPr>
    </w:p>
    <w:p>
      <w:pPr>
        <w:ind w:left="640" w:right="1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significant intercompany transactions and balances between the Company, its wholly owned subsidiaries and the consolidated VIE have been eliminated upon combination.</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the unaudited interim condensed consolidated financial statements in conformity with U.S. GAAP requires the Group to make estimates and assumptions that affect the reported amounts of assets and liabilities and related disclosure of contingent assets and liabilities at the balance sheet date, and the reported revenues and expense during the reporting period and disclosed in the unaudited interim condensed consolidated financial statements and accompanying notes.</w:t>
      </w:r>
    </w:p>
    <w:p>
      <w:pPr>
        <w:spacing w:after="0" w:line="74" w:lineRule="exact"/>
        <w:rPr>
          <w:rFonts w:ascii="Times New Roman" w:cs="Times New Roman" w:eastAsia="Times New Roman" w:hAnsi="Times New Roman"/>
          <w:sz w:val="18"/>
          <w:szCs w:val="18"/>
          <w:b w:val="1"/>
          <w:bCs w:val="1"/>
          <w:i w:val="1"/>
          <w:iCs w:val="1"/>
          <w:color w:val="auto"/>
        </w:rPr>
      </w:pPr>
    </w:p>
    <w:p>
      <w:pPr>
        <w:ind w:left="640" w:right="2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Significant accounting estimates reflected in the Group’s unaudited interim condensed consolidated financial statements include, but are not limited to revenue recognition based on the expected learning period of the customers, provision of credit losses of receivables, fair value of short-term investments, the valuation allowance of deferred tax assets, as well as the valuation and recognition of share-based compensation arrangements. Actual results could differ from those estimates and such differences may be material to the unaudited interim condensed consolidated financial statements.</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reporting currency is Renminbi (“RMB”). The functional currency of the Company and the Group’s subsidiaries incorporated in the Cayman Islands, BVI and Hong Kong is United States dollars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40"/>
          </w:cols>
          <w:pgMar w:left="320" w:top="452" w:right="5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0"/>
        <w:spacing w:after="0" w:line="275" w:lineRule="auto"/>
        <w:rPr>
          <w:sz w:val="20"/>
          <w:szCs w:val="20"/>
          <w:color w:val="auto"/>
        </w:rPr>
      </w:pPr>
      <w:r>
        <w:rPr>
          <w:rFonts w:ascii="Times New Roman" w:cs="Times New Roman" w:eastAsia="Times New Roman" w:hAnsi="Times New Roman"/>
          <w:sz w:val="18"/>
          <w:szCs w:val="18"/>
          <w:color w:val="auto"/>
        </w:rPr>
        <w:t>(“US$”). The Group’s PRC subsidiaries determined their functional currency to be RMB. The determination of the respective functional currency is based on the criteria set out by ASC 830, Foreign Currency Matters.</w:t>
      </w:r>
    </w:p>
    <w:p>
      <w:pPr>
        <w:spacing w:after="0" w:line="58"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Transactions denominated in foreign currencies other than functional currency are translated into the functional currency at the exchange rates prevailing on the transaction dates. Assets and liabilities denominated in foreign currencies other than functional currency are remeasured into the functional currency at the exchange rates prevailing at the balance sheet date. Exchange gains or losses arising from foreign currency transactions are recorded in the unaudited interim condensed consolidated statements of operations and comprehensive loss.</w:t>
      </w:r>
    </w:p>
    <w:p>
      <w:pPr>
        <w:spacing w:after="0" w:line="74" w:lineRule="exact"/>
        <w:rPr>
          <w:sz w:val="20"/>
          <w:szCs w:val="20"/>
          <w:color w:val="auto"/>
        </w:rPr>
      </w:pPr>
    </w:p>
    <w:p>
      <w:pPr>
        <w:ind w:left="640" w:right="100"/>
        <w:spacing w:after="0" w:line="256" w:lineRule="auto"/>
        <w:rPr>
          <w:sz w:val="20"/>
          <w:szCs w:val="20"/>
          <w:color w:val="auto"/>
        </w:rPr>
      </w:pPr>
      <w:r>
        <w:rPr>
          <w:rFonts w:ascii="Times New Roman" w:cs="Times New Roman" w:eastAsia="Times New Roman" w:hAnsi="Times New Roman"/>
          <w:sz w:val="18"/>
          <w:szCs w:val="18"/>
          <w:color w:val="auto"/>
        </w:rPr>
        <w:t>The financial statements of the Group’s non-PRC entities are translated from their respective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gains and losses are translated into RMB using the average exchange-rates for the relevant period.</w:t>
      </w:r>
    </w:p>
    <w:p>
      <w:pPr>
        <w:spacing w:after="0" w:line="7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resulting foreign currency translation adjustments are recorded as a component of accumulated other comprehensive income in the unaudited interim condensed consolidated statement of changes in invested deficit / shareholders’ deficit and a component of other comprehensive income in the unaudited interim condensed consolidated statement of operations and comprehensive loss.</w:t>
      </w:r>
    </w:p>
    <w:p>
      <w:pPr>
        <w:spacing w:after="0" w:line="318" w:lineRule="exact"/>
        <w:rPr>
          <w:sz w:val="20"/>
          <w:szCs w:val="20"/>
          <w:color w:val="auto"/>
        </w:rPr>
      </w:pPr>
    </w:p>
    <w:p>
      <w:pPr>
        <w:ind w:left="620" w:hanging="421"/>
        <w:spacing w:after="0"/>
        <w:tabs>
          <w:tab w:leader="none" w:pos="620" w:val="left"/>
        </w:tabs>
        <w:numPr>
          <w:ilvl w:val="0"/>
          <w:numId w:val="1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7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Translations of the unaudited interim condensed consolidated balance sheet, the unaudited interim condensed consolidated statement of operations and comprehensive loss and the unaudited interim condensed consolidated statement of cash flows from RMB into US$ as of and for the period ended September 30, 2022 are solely for the convenience of the readers and were calculated at the rate of US$1.00=RMB7.1135, representing the noon buying rate set forth in the H.10 statistical release of the U.S. Federal Reserve Board on September 30, 2022. No representation is made that the RMB amounts could have been, or could be, converted, realized, or settled into US$ at that rate on September 30, 2022, or at any other rate.</w:t>
      </w:r>
    </w:p>
    <w:p>
      <w:pPr>
        <w:spacing w:after="0" w:line="310"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and cash equivalents consist of cash on hand, time deposits, and funds held in deposit accounts with banks, which are highly liquid and have original maturities of three months or less and are unrestricted as to withdrawal or use.</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6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Accounts receivable is recorded at the invoiced amount and do not bear interest. Accounts receivable mainly represent marketing service fees receivable from insurance intermediaries and securities brokerage firms.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8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other receivables which were recorded as a component of the prepaid expenses and other current assets and other non-current assets are within the scope of ASC Topic 326. 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40"/>
          </w:cols>
          <w:pgMar w:left="320" w:top="452" w:right="5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360"/>
        <w:spacing w:after="0" w:line="275" w:lineRule="auto"/>
        <w:rPr>
          <w:sz w:val="20"/>
          <w:szCs w:val="20"/>
          <w:color w:val="auto"/>
        </w:rPr>
      </w:pPr>
      <w:r>
        <w:rPr>
          <w:rFonts w:ascii="Times New Roman" w:cs="Times New Roman" w:eastAsia="Times New Roman" w:hAnsi="Times New Roman"/>
          <w:sz w:val="18"/>
          <w:szCs w:val="18"/>
          <w:color w:val="auto"/>
        </w:rPr>
        <w:t>Group’s customer collection trends. This is assessed at each quarter based on the Group’s specific facts and circumstances. The allowance for credit losses and corresponding receivables were written off when they are determined to be uncollectible.</w:t>
      </w:r>
    </w:p>
    <w:p>
      <w:pPr>
        <w:spacing w:after="0" w:line="306" w:lineRule="exact"/>
        <w:rPr>
          <w:sz w:val="20"/>
          <w:szCs w:val="20"/>
          <w:color w:val="auto"/>
        </w:rPr>
      </w:pPr>
    </w:p>
    <w:p>
      <w:pPr>
        <w:ind w:left="620" w:hanging="421"/>
        <w:spacing w:after="0"/>
        <w:tabs>
          <w:tab w:leader="none" w:pos="620" w:val="left"/>
        </w:tabs>
        <w:numPr>
          <w:ilvl w:val="0"/>
          <w:numId w:val="1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6" w:lineRule="exact"/>
        <w:rPr>
          <w:rFonts w:ascii="Times New Roman" w:cs="Times New Roman" w:eastAsia="Times New Roman" w:hAnsi="Times New Roman"/>
          <w:sz w:val="18"/>
          <w:szCs w:val="18"/>
          <w:b w:val="1"/>
          <w:bCs w:val="1"/>
          <w:i w:val="1"/>
          <w:iCs w:val="1"/>
          <w:color w:val="auto"/>
        </w:rPr>
      </w:pPr>
    </w:p>
    <w:p>
      <w:pPr>
        <w:ind w:left="6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74" w:lineRule="exact"/>
        <w:rPr>
          <w:rFonts w:ascii="Times New Roman" w:cs="Times New Roman" w:eastAsia="Times New Roman" w:hAnsi="Times New Roman"/>
          <w:sz w:val="18"/>
          <w:szCs w:val="18"/>
          <w:b w:val="1"/>
          <w:bCs w:val="1"/>
          <w:i w:val="1"/>
          <w:iCs w:val="1"/>
          <w:color w:val="auto"/>
        </w:rPr>
      </w:pPr>
    </w:p>
    <w:p>
      <w:pPr>
        <w:ind w:left="640" w:right="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87" w:lineRule="exact"/>
        <w:rPr>
          <w:rFonts w:ascii="Times New Roman" w:cs="Times New Roman" w:eastAsia="Times New Roman" w:hAnsi="Times New Roman"/>
          <w:sz w:val="18"/>
          <w:szCs w:val="18"/>
          <w:b w:val="1"/>
          <w:bCs w:val="1"/>
          <w:i w:val="1"/>
          <w:iCs w:val="1"/>
          <w:color w:val="auto"/>
        </w:rPr>
      </w:pPr>
    </w:p>
    <w:p>
      <w:pPr>
        <w:ind w:left="1160" w:hanging="429"/>
        <w:spacing w:after="0"/>
        <w:tabs>
          <w:tab w:leader="none" w:pos="11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25" w:lineRule="exact"/>
        <w:rPr>
          <w:rFonts w:ascii="Times New Roman" w:cs="Times New Roman" w:eastAsia="Times New Roman" w:hAnsi="Times New Roman"/>
          <w:sz w:val="18"/>
          <w:szCs w:val="18"/>
          <w:color w:val="auto"/>
        </w:rPr>
      </w:pPr>
    </w:p>
    <w:p>
      <w:pPr>
        <w:ind w:left="1160" w:hanging="429"/>
        <w:spacing w:after="0" w:line="256" w:lineRule="auto"/>
        <w:tabs>
          <w:tab w:leader="none" w:pos="11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87" w:lineRule="exact"/>
        <w:rPr>
          <w:rFonts w:ascii="Times New Roman" w:cs="Times New Roman" w:eastAsia="Times New Roman" w:hAnsi="Times New Roman"/>
          <w:sz w:val="18"/>
          <w:szCs w:val="18"/>
          <w:color w:val="auto"/>
        </w:rPr>
      </w:pPr>
    </w:p>
    <w:p>
      <w:pPr>
        <w:ind w:left="1160" w:right="520" w:hanging="429"/>
        <w:spacing w:after="0" w:line="275" w:lineRule="auto"/>
        <w:tabs>
          <w:tab w:leader="none" w:pos="11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58" w:lineRule="exact"/>
        <w:rPr>
          <w:sz w:val="20"/>
          <w:szCs w:val="20"/>
          <w:color w:val="auto"/>
        </w:rPr>
      </w:pPr>
    </w:p>
    <w:p>
      <w:pPr>
        <w:ind w:left="640" w:right="140"/>
        <w:spacing w:after="0" w:line="275" w:lineRule="auto"/>
        <w:rPr>
          <w:sz w:val="20"/>
          <w:szCs w:val="20"/>
          <w:color w:val="auto"/>
        </w:rPr>
      </w:pPr>
      <w:r>
        <w:rPr>
          <w:rFonts w:ascii="Times New Roman" w:cs="Times New Roman" w:eastAsia="Times New Roman" w:hAnsi="Times New Roman"/>
          <w:sz w:val="18"/>
          <w:szCs w:val="18"/>
          <w:color w:val="auto"/>
        </w:rPr>
        <w:t>The carrying amount of cash and cash equivalents, restricted cash, other assets, amounts due from a related party, amounts due to a related party, accounts payables and accruals expenses and other current liabilities approximates fair value because of their short-term nature.</w:t>
      </w:r>
    </w:p>
    <w:p>
      <w:pPr>
        <w:spacing w:after="0" w:line="58" w:lineRule="exact"/>
        <w:rPr>
          <w:sz w:val="20"/>
          <w:szCs w:val="20"/>
          <w:color w:val="auto"/>
        </w:rPr>
      </w:pPr>
    </w:p>
    <w:p>
      <w:pPr>
        <w:ind w:left="640" w:right="80"/>
        <w:spacing w:after="0" w:line="253"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79" w:lineRule="exact"/>
        <w:rPr>
          <w:sz w:val="20"/>
          <w:szCs w:val="20"/>
          <w:color w:val="auto"/>
        </w:rPr>
      </w:pPr>
    </w:p>
    <w:p>
      <w:pPr>
        <w:ind w:left="640" w:right="120"/>
        <w:spacing w:after="0" w:line="261"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318" w:lineRule="exact"/>
        <w:rPr>
          <w:sz w:val="20"/>
          <w:szCs w:val="20"/>
          <w:color w:val="auto"/>
        </w:rPr>
      </w:pPr>
    </w:p>
    <w:p>
      <w:pPr>
        <w:ind w:left="620" w:hanging="421"/>
        <w:spacing w:after="0"/>
        <w:tabs>
          <w:tab w:leader="none" w:pos="620" w:val="left"/>
        </w:tabs>
        <w:numPr>
          <w:ilvl w:val="0"/>
          <w:numId w:val="1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6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Short-term investments include wealth management product with variable interest rates or principal non-guaranteed with certain financial institutions. In accordance with ASC 825, Financial Instruments, for</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20"/>
          </w:cols>
          <w:pgMar w:left="320" w:top="451" w:right="5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60"/>
        <w:spacing w:after="0" w:line="253" w:lineRule="auto"/>
        <w:rPr>
          <w:sz w:val="20"/>
          <w:szCs w:val="20"/>
          <w:color w:val="auto"/>
        </w:rPr>
      </w:pPr>
      <w:r>
        <w:rPr>
          <w:rFonts w:ascii="Times New Roman" w:cs="Times New Roman" w:eastAsia="Times New Roman" w:hAnsi="Times New Roman"/>
          <w:sz w:val="18"/>
          <w:szCs w:val="18"/>
          <w:color w:val="auto"/>
        </w:rPr>
        <w:t>financial products with variable interest rates referenced to performance of underlying assets, the Group elected the fair value method at the date of initial recognition and carries these investments at fair value. Changes in the fair value of these investments are reflected in the unaudited interim condensed consolidated statements of operations and comprehensive loss as investment income and included in “others, net”. Fair value is estimated based on quoted prices of similar products provided by financial institutions at the end of each reporting period. The Group classifies these inputs as Level 2 fair value measurement.</w:t>
      </w:r>
    </w:p>
    <w:p>
      <w:pPr>
        <w:spacing w:after="0" w:line="328" w:lineRule="exact"/>
        <w:rPr>
          <w:sz w:val="20"/>
          <w:szCs w:val="20"/>
          <w:color w:val="auto"/>
        </w:rPr>
      </w:pPr>
    </w:p>
    <w:p>
      <w:pPr>
        <w:ind w:left="620" w:hanging="421"/>
        <w:spacing w:after="0"/>
        <w:tabs>
          <w:tab w:leader="none" w:pos="620" w:val="left"/>
        </w:tabs>
        <w:numPr>
          <w:ilvl w:val="0"/>
          <w:numId w:val="1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Prepayments and other current assets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Prepayments and other current assets mainly consist of prepayments for promotion fees and other service fees, prepaid input value-added tax, deposits, and receivables from third party payment platforms (see Note 5). Prepayments and other current assets are stated at the historical carrying amount net of the allowance for credit losses. The Group reviews other assets on a periodic basis and makes allowances when there is doubt as to the collectability of individual balances. Other assets are written off when they are determined to be uncollectible.</w:t>
      </w:r>
    </w:p>
    <w:p>
      <w:pPr>
        <w:spacing w:after="0" w:line="322"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6" w:lineRule="exact"/>
        <w:rPr>
          <w:rFonts w:ascii="Times New Roman" w:cs="Times New Roman" w:eastAsia="Times New Roman" w:hAnsi="Times New Roman"/>
          <w:sz w:val="18"/>
          <w:szCs w:val="18"/>
          <w:b w:val="1"/>
          <w:bCs w:val="1"/>
          <w:i w:val="1"/>
          <w:iCs w:val="1"/>
          <w:color w:val="auto"/>
        </w:rPr>
      </w:pPr>
    </w:p>
    <w:p>
      <w:pPr>
        <w:jc w:val="both"/>
        <w:ind w:left="64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recorded at cost, less accumulated depreciation and impairment. Depreciation of property and equipment is calculated on a straight-line basis, after consideration of expected useful lives and estimated residual values. The Group has not recorded any impairments of property and equipment for the period presented. The estimated useful lives of these assets are generally as follows: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8"/>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Leasehold improvement</w:t>
            </w:r>
          </w:p>
        </w:tc>
        <w:tc>
          <w:tcPr>
            <w:tcW w:w="200" w:type="dxa"/>
            <w:vAlign w:val="bottom"/>
          </w:tcPr>
          <w:p>
            <w:pPr>
              <w:spacing w:after="0"/>
              <w:rPr>
                <w:sz w:val="16"/>
                <w:szCs w:val="16"/>
                <w:color w:val="auto"/>
              </w:rPr>
            </w:pPr>
          </w:p>
        </w:tc>
        <w:tc>
          <w:tcPr>
            <w:tcW w:w="54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Shorter of the lease term or estimated economic life</w:t>
            </w:r>
          </w:p>
        </w:tc>
      </w:tr>
      <w:tr>
        <w:trPr>
          <w:trHeight w:val="232"/>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jc w:val="both"/>
        <w:ind w:left="640" w:right="180"/>
        <w:spacing w:after="0" w:line="261" w:lineRule="auto"/>
        <w:rPr>
          <w:sz w:val="20"/>
          <w:szCs w:val="20"/>
          <w:color w:val="auto"/>
        </w:rPr>
      </w:pPr>
      <w:r>
        <w:rPr>
          <w:rFonts w:ascii="Times New Roman" w:cs="Times New Roman" w:eastAsia="Times New Roman" w:hAnsi="Times New Roman"/>
          <w:sz w:val="18"/>
          <w:szCs w:val="18"/>
          <w:color w:val="auto"/>
        </w:rPr>
        <w:t>Repairs and maintenance costs are charged to expenses as incurred, whereas the costs of renewals and betterment that extend the useful lives of property, plant and equipment are capitalized as additions to the related assets. Gains and losses from the disposal of property and equipment are included in the unaudited interim condensed consolidated statements of operations and comprehensive loss.</w:t>
      </w:r>
    </w:p>
    <w:p>
      <w:pPr>
        <w:spacing w:after="0" w:line="318" w:lineRule="exact"/>
        <w:rPr>
          <w:sz w:val="20"/>
          <w:szCs w:val="20"/>
          <w:color w:val="auto"/>
        </w:rPr>
      </w:pPr>
    </w:p>
    <w:p>
      <w:pPr>
        <w:ind w:left="620" w:hanging="421"/>
        <w:spacing w:after="0"/>
        <w:tabs>
          <w:tab w:leader="none" w:pos="620" w:val="left"/>
        </w:tabs>
        <w:numPr>
          <w:ilvl w:val="0"/>
          <w:numId w:val="1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6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Intangible assets are carried at cost, less accumulated amortization and impairment, if any. Amortization of finite-lived intangible assets is computed using the straight-line method over the estimated useful lives, which is as follows: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8"/>
        </w:trPr>
        <w:tc>
          <w:tcPr>
            <w:tcW w:w="20" w:type="dxa"/>
            <w:vAlign w:val="bottom"/>
          </w:tcPr>
          <w:p>
            <w:pPr>
              <w:spacing w:after="0"/>
              <w:rPr>
                <w:sz w:val="16"/>
                <w:szCs w:val="16"/>
                <w:color w:val="auto"/>
              </w:rPr>
            </w:pPr>
          </w:p>
        </w:tc>
        <w:tc>
          <w:tcPr>
            <w:tcW w:w="53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Insurance brokerage license</w:t>
            </w:r>
          </w:p>
        </w:tc>
        <w:tc>
          <w:tcPr>
            <w:tcW w:w="200" w:type="dxa"/>
            <w:vAlign w:val="bottom"/>
          </w:tcPr>
          <w:p>
            <w:pPr>
              <w:spacing w:after="0"/>
              <w:rPr>
                <w:sz w:val="16"/>
                <w:szCs w:val="16"/>
                <w:color w:val="auto"/>
              </w:rPr>
            </w:pPr>
          </w:p>
        </w:tc>
        <w:tc>
          <w:tcPr>
            <w:tcW w:w="49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52 months</w:t>
            </w:r>
          </w:p>
        </w:tc>
      </w:tr>
      <w:tr>
        <w:trPr>
          <w:trHeight w:val="2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1 year to 2 years</w:t>
            </w:r>
          </w:p>
        </w:tc>
      </w:tr>
    </w:tbl>
    <w:p>
      <w:pPr>
        <w:spacing w:after="0" w:line="336" w:lineRule="exact"/>
        <w:rPr>
          <w:sz w:val="20"/>
          <w:szCs w:val="20"/>
          <w:color w:val="auto"/>
        </w:rPr>
      </w:pPr>
    </w:p>
    <w:p>
      <w:pPr>
        <w:ind w:left="620" w:hanging="421"/>
        <w:spacing w:after="0"/>
        <w:tabs>
          <w:tab w:leader="none" w:pos="620" w:val="left"/>
        </w:tabs>
        <w:numPr>
          <w:ilvl w:val="0"/>
          <w:numId w:val="1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8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Long-lived assets are evaluated for impairment whenever events or changes in circumstances (such as a significant adverse change to market conditions that will affect the future use of the assets) indicate that the carrying value of an asset may not be fully recoverable or that the useful life is shorter than the Group had originally estimated. When these events occur, the Group evaluates the impairment for the long-lived assets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60"/>
          </w:cols>
          <w:pgMar w:left="320" w:top="452" w:right="5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0"/>
        <w:spacing w:after="0" w:line="256" w:lineRule="auto"/>
        <w:rPr>
          <w:sz w:val="20"/>
          <w:szCs w:val="20"/>
          <w:color w:val="auto"/>
        </w:rPr>
      </w:pPr>
      <w:r>
        <w:rPr>
          <w:rFonts w:ascii="Times New Roman" w:cs="Times New Roman" w:eastAsia="Times New Roman" w:hAnsi="Times New Roman"/>
          <w:sz w:val="18"/>
          <w:szCs w:val="18"/>
          <w:color w:val="auto"/>
        </w:rPr>
        <w:t>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the three months ended September 30, 2021 and 2022.</w:t>
      </w:r>
    </w:p>
    <w:p>
      <w:pPr>
        <w:spacing w:after="0" w:line="323" w:lineRule="exact"/>
        <w:rPr>
          <w:sz w:val="20"/>
          <w:szCs w:val="20"/>
          <w:color w:val="auto"/>
        </w:rPr>
      </w:pPr>
    </w:p>
    <w:p>
      <w:pPr>
        <w:ind w:left="620" w:hanging="421"/>
        <w:spacing w:after="0"/>
        <w:tabs>
          <w:tab w:leader="none" w:pos="620" w:val="left"/>
        </w:tabs>
        <w:numPr>
          <w:ilvl w:val="0"/>
          <w:numId w:val="1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leases in accordance with ASC 842, Leases (“ASC 842”), which requires lessees to recognize leases on the balance sheet and disclose key information about leasing arrangements.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2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has operating leases primarily for office space. The determination of whether an arrangement is a lease or contains a lease is made at inception by evaluating whether the arrangement conveys the right to use an identified asset and whether the Group obtains substantially all the economic benefits from and has the ability to direct the use of the asset. The Group elects not to apply the recognition requirements of ASC 842 to short-term leases. Variable lease payments are the payments made by a lessee to a lessor for the right to use an underlying asset that vary because of changes in facts or circumstances occurring after the commencement date, other than the passage of time. Variable lease payments are recorded in the period in which the obligation for the payment is incurred. Other operating leases are included in operating lease right-of-use assets, operating lease liabilities, current portion, and operating lease liabilities, non-current portion on the unaudited interim condensed consolidated balance sheets.</w:t>
      </w:r>
    </w:p>
    <w:p>
      <w:pPr>
        <w:spacing w:after="0" w:line="83" w:lineRule="exact"/>
        <w:rPr>
          <w:rFonts w:ascii="Times New Roman" w:cs="Times New Roman" w:eastAsia="Times New Roman" w:hAnsi="Times New Roman"/>
          <w:sz w:val="18"/>
          <w:szCs w:val="18"/>
          <w:b w:val="1"/>
          <w:bCs w:val="1"/>
          <w:i w:val="1"/>
          <w:iCs w:val="1"/>
          <w:color w:val="auto"/>
        </w:rPr>
      </w:pPr>
    </w:p>
    <w:p>
      <w:pPr>
        <w:ind w:left="6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uses the implicit rate when readily determinable, or its incremental borrowing rate based on the information available, at the commencement date in determining the present value of lease payments. Certain leases include renewal options and/or termination options. Renewal options are included in the lease term if the Group is reasonably certain to exercise those options while options to terminate the lease are only included in the lease term if the Group is reasonably certain not to exercise those options. Lease expenses are recorded on a straight-line basis over the lease term.</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4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unaudited interim condensed consolidated statements of operations and comprehensive loss.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unaudited interim condensed consolidated statements of operations and comprehensive loss.</w:t>
      </w:r>
    </w:p>
    <w:p>
      <w:pPr>
        <w:spacing w:after="0" w:line="82" w:lineRule="exact"/>
        <w:rPr>
          <w:rFonts w:ascii="Times New Roman" w:cs="Times New Roman" w:eastAsia="Times New Roman" w:hAnsi="Times New Roman"/>
          <w:sz w:val="18"/>
          <w:szCs w:val="18"/>
          <w:b w:val="1"/>
          <w:bCs w:val="1"/>
          <w:i w:val="1"/>
          <w:iCs w:val="1"/>
          <w:color w:val="auto"/>
        </w:rPr>
      </w:pPr>
    </w:p>
    <w:p>
      <w:pPr>
        <w:ind w:left="640" w:right="4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determination and allocation of fair values to the identifiable assets acquired, liabilities assumed and noncontrolling interests is based on various assumptions and valuation methodologies requiring</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40"/>
          </w:cols>
          <w:pgMar w:left="320" w:top="452" w:right="5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100"/>
        <w:spacing w:after="0" w:line="256" w:lineRule="auto"/>
        <w:rPr>
          <w:sz w:val="20"/>
          <w:szCs w:val="20"/>
          <w:color w:val="auto"/>
        </w:rPr>
      </w:pPr>
      <w:r>
        <w:rPr>
          <w:rFonts w:ascii="Times New Roman" w:cs="Times New Roman" w:eastAsia="Times New Roman" w:hAnsi="Times New Roman"/>
          <w:sz w:val="18"/>
          <w:szCs w:val="18"/>
          <w:color w:val="auto"/>
        </w:rPr>
        <w:t>considerable judgment from management. The most significant variables in these valuations are discount rates, terminal values, the number of years on which to base the cash flow projections, as well as the assumptions and estimates used to determine the cash inflows and outflows. We determine discount rates to be used based on the risk inherent in the related activity’s current business model and industry comparisons. Terminal values are based on the expected life of assets, forecasted life cycle and forecasted cash flows over that period.</w:t>
      </w:r>
    </w:p>
    <w:p>
      <w:pPr>
        <w:spacing w:after="0" w:line="74"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interests in the acquiree when obtaining control at its acquisition date fair value and the re-measurement gain or loss, if any, is recognized on the unaudited interim condensed consolidated statements of operations and comprehensive loss.</w:t>
      </w:r>
    </w:p>
    <w:p>
      <w:pPr>
        <w:spacing w:after="0" w:line="69"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318" w:lineRule="exact"/>
        <w:rPr>
          <w:sz w:val="20"/>
          <w:szCs w:val="20"/>
          <w:color w:val="auto"/>
        </w:rPr>
      </w:pPr>
    </w:p>
    <w:p>
      <w:pPr>
        <w:ind w:left="620" w:hanging="421"/>
        <w:spacing w:after="0"/>
        <w:tabs>
          <w:tab w:leader="none" w:pos="620" w:val="left"/>
        </w:tabs>
        <w:numPr>
          <w:ilvl w:val="0"/>
          <w:numId w:val="1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4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is principally engaged in the operation of an online platform to provide individual online learning services to the individual learners and enterprise services to financial intermediary enterprises in the PRC.</w:t>
      </w:r>
    </w:p>
    <w:p>
      <w:pPr>
        <w:spacing w:after="0" w:line="57" w:lineRule="exact"/>
        <w:rPr>
          <w:rFonts w:ascii="Times New Roman" w:cs="Times New Roman" w:eastAsia="Times New Roman" w:hAnsi="Times New Roman"/>
          <w:sz w:val="18"/>
          <w:szCs w:val="18"/>
          <w:b w:val="1"/>
          <w:bCs w:val="1"/>
          <w:i w:val="1"/>
          <w:iCs w:val="1"/>
          <w:color w:val="auto"/>
        </w:rPr>
      </w:pPr>
    </w:p>
    <w:p>
      <w:pPr>
        <w:ind w:left="6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ASC 606, the Group determined revenue recognition through the following steps:</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Identification of the contract, or contracts, with a customer;</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Identification of the performance obligations in the contract;</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Allocation of the transaction price to the performance obligations in the contract;</w:t>
      </w:r>
    </w:p>
    <w:p>
      <w:pPr>
        <w:spacing w:after="0" w:line="125" w:lineRule="exact"/>
        <w:rPr>
          <w:rFonts w:ascii="Times New Roman" w:cs="Times New Roman" w:eastAsia="Times New Roman" w:hAnsi="Times New Roman"/>
          <w:sz w:val="18"/>
          <w:szCs w:val="18"/>
          <w:b w:val="1"/>
          <w:bCs w:val="1"/>
          <w:i w:val="1"/>
          <w:iCs w:val="1"/>
          <w:color w:val="auto"/>
        </w:rPr>
      </w:pPr>
    </w:p>
    <w:p>
      <w:pPr>
        <w:ind w:left="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Recognition of revenue when (or as) the Group satisfies a performance obligation.</w:t>
      </w:r>
    </w:p>
    <w:p>
      <w:pPr>
        <w:spacing w:after="0" w:line="112" w:lineRule="exact"/>
        <w:rPr>
          <w:sz w:val="20"/>
          <w:szCs w:val="20"/>
          <w:color w:val="auto"/>
        </w:rPr>
      </w:pPr>
    </w:p>
    <w:p>
      <w:pPr>
        <w:ind w:left="640"/>
        <w:spacing w:after="0" w:line="253" w:lineRule="auto"/>
        <w:rPr>
          <w:sz w:val="20"/>
          <w:szCs w:val="20"/>
          <w:color w:val="auto"/>
        </w:rPr>
      </w:pPr>
      <w:r>
        <w:rPr>
          <w:rFonts w:ascii="Times New Roman" w:cs="Times New Roman" w:eastAsia="Times New Roman" w:hAnsi="Times New Roman"/>
          <w:sz w:val="18"/>
          <w:szCs w:val="18"/>
          <w:color w:val="auto"/>
        </w:rPr>
        <w:t>Revenue is measured at the fair value of the consideration received or receivable, and represents amounts receivable for services provided, stated net of discounts, sales incentives, refunds and value-added taxes (“VAT”) collected from customers and remitted to tax authorities. Revenue is recognized when or as the control of the services is transferred to the customer. If control of the services transfers over time, revenue is recognized over the period of the contract by measuring the progress towards complete satisfaction of that performance obligation. Otherwise, revenue is recognized at a point in time when the customer obtains control of the services.</w:t>
      </w:r>
    </w:p>
    <w:p>
      <w:pPr>
        <w:spacing w:after="0" w:line="79" w:lineRule="exact"/>
        <w:rPr>
          <w:sz w:val="20"/>
          <w:szCs w:val="20"/>
          <w:color w:val="auto"/>
        </w:rPr>
      </w:pPr>
    </w:p>
    <w:p>
      <w:pPr>
        <w:ind w:left="640" w:right="200"/>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transaction price to each performance obligation based on its relative standalone selling price. The Group generally determines the standalone selling prices based on the prices charged to customers. Assumptions and estimations have been made in estimating the relative selling price of each distinct performance obligation, and changes in judgments on these assumptions and estimates may impact the revenue recognition.</w:t>
      </w:r>
    </w:p>
    <w:p>
      <w:pPr>
        <w:spacing w:after="0" w:line="74" w:lineRule="exact"/>
        <w:rPr>
          <w:sz w:val="20"/>
          <w:szCs w:val="20"/>
          <w:color w:val="auto"/>
        </w:rPr>
      </w:pPr>
    </w:p>
    <w:p>
      <w:pPr>
        <w:ind w:left="640" w:right="300"/>
        <w:spacing w:after="0" w:line="261" w:lineRule="auto"/>
        <w:rPr>
          <w:sz w:val="20"/>
          <w:szCs w:val="20"/>
          <w:color w:val="auto"/>
        </w:rPr>
      </w:pPr>
      <w:r>
        <w:rPr>
          <w:rFonts w:ascii="Times New Roman" w:cs="Times New Roman" w:eastAsia="Times New Roman" w:hAnsi="Times New Roman"/>
          <w:sz w:val="18"/>
          <w:szCs w:val="18"/>
          <w:color w:val="auto"/>
        </w:rPr>
        <w:t>The Group earns its revenues primarily by providing: (i) self-operated online learning services of premium courses to learners through its own online platforms and cooperated online learning services; (ii) enterprise services, including marketing and referral services to insurance intermediaries and securities brokerage firms; and (iii) other services.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20"/>
          </w:cols>
          <w:pgMar w:left="320" w:top="452" w:right="5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1160" w:hanging="535"/>
        <w:spacing w:after="0"/>
        <w:tabs>
          <w:tab w:leader="none" w:pos="1160" w:val="left"/>
        </w:tabs>
        <w:numPr>
          <w:ilvl w:val="0"/>
          <w:numId w:val="1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Online learning services</w:t>
      </w:r>
    </w:p>
    <w:p>
      <w:pPr>
        <w:spacing w:after="0" w:line="114" w:lineRule="exact"/>
        <w:rPr>
          <w:rFonts w:ascii="Times New Roman" w:cs="Times New Roman" w:eastAsia="Times New Roman" w:hAnsi="Times New Roman"/>
          <w:sz w:val="18"/>
          <w:szCs w:val="18"/>
          <w:i w:val="1"/>
          <w:iCs w:val="1"/>
          <w:color w:val="auto"/>
        </w:rPr>
      </w:pPr>
    </w:p>
    <w:p>
      <w:pPr>
        <w:ind w:left="1180" w:right="600"/>
        <w:spacing w:after="0" w:line="27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online learning services provided by the Group principally include online financial literacy courses and other personal interest courses.</w:t>
      </w:r>
    </w:p>
    <w:p>
      <w:pPr>
        <w:spacing w:after="0" w:line="268" w:lineRule="exact"/>
        <w:rPr>
          <w:rFonts w:ascii="Times New Roman" w:cs="Times New Roman" w:eastAsia="Times New Roman" w:hAnsi="Times New Roman"/>
          <w:sz w:val="18"/>
          <w:szCs w:val="18"/>
          <w:i w:val="1"/>
          <w:iCs w:val="1"/>
          <w:color w:val="auto"/>
        </w:rPr>
      </w:pPr>
    </w:p>
    <w:p>
      <w:pPr>
        <w:ind w:left="11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Self-operated online learning services</w:t>
      </w:r>
    </w:p>
    <w:p>
      <w:pPr>
        <w:spacing w:after="0" w:line="114" w:lineRule="exact"/>
        <w:rPr>
          <w:rFonts w:ascii="Times New Roman" w:cs="Times New Roman" w:eastAsia="Times New Roman" w:hAnsi="Times New Roman"/>
          <w:sz w:val="18"/>
          <w:szCs w:val="18"/>
          <w:i w:val="1"/>
          <w:iCs w:val="1"/>
          <w:color w:val="auto"/>
        </w:rPr>
      </w:pPr>
    </w:p>
    <w:p>
      <w:pPr>
        <w:ind w:left="1180" w:right="180"/>
        <w:spacing w:after="0" w:line="28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The self-operated online learning services refer to online courses whereby the course contents are designed and developed by the Group. The Group is responsible for fulfilling all obligations of the online course delivery according to its sales contracts with the learners. Therefore, the Group determines that the individual learners are the Group’s customers and recognizes revenue on a gross basis.</w:t>
      </w:r>
    </w:p>
    <w:p>
      <w:pPr>
        <w:spacing w:after="0" w:line="53" w:lineRule="exact"/>
        <w:rPr>
          <w:rFonts w:ascii="Times New Roman" w:cs="Times New Roman" w:eastAsia="Times New Roman" w:hAnsi="Times New Roman"/>
          <w:sz w:val="18"/>
          <w:szCs w:val="18"/>
          <w:i w:val="1"/>
          <w:iCs w:val="1"/>
          <w:color w:val="auto"/>
        </w:rPr>
      </w:pPr>
    </w:p>
    <w:p>
      <w:pPr>
        <w:ind w:left="118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Group delivered the self-operated online courses through its own online platforms, including Qiniu (rebranded from KuaiCai), QianChi (rebranded from BanCai) and JiangZhen, and there are two modes of delivery, namely (i) online community-based training camps or (ii) self-study e-learnings. With respect to an online community-based training camp, it typically includes organized online interactions between the Group’s tutors and the learners in a form of training camp communities, online access of pre-recorded lectures designated for the training camps and certain live broadcasting lectures. The Company considered that these elements in a training camp are not separately identifiable from each other, as the training camp represents the combined output for which the learners have contracted. With respect to a self-study e-learning, it is delivered in a form of pre-recorded lessons for the learners to self-study. The promise to provide access to all lessons of the self e-learnings is a series of distinct services as providing access each day is substantially the same. Therefore, each training camp and self-study e-learning is accounted for as a single performance obligation.</w:t>
      </w:r>
    </w:p>
    <w:p>
      <w:pPr>
        <w:spacing w:after="0" w:line="80" w:lineRule="exact"/>
        <w:rPr>
          <w:rFonts w:ascii="Times New Roman" w:cs="Times New Roman" w:eastAsia="Times New Roman" w:hAnsi="Times New Roman"/>
          <w:sz w:val="18"/>
          <w:szCs w:val="18"/>
          <w:i w:val="1"/>
          <w:iCs w:val="1"/>
          <w:color w:val="auto"/>
        </w:rPr>
      </w:pPr>
    </w:p>
    <w:p>
      <w:pPr>
        <w:ind w:left="1180" w:right="200"/>
        <w:spacing w:after="0" w:line="28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All contracts with the learners are billed in advance and upfront full payment of the fee by the learners is required prior to accessing any enrolled course contents. For sales of packages of training camps and self-study e-learnings of different online courses, the Company allocated the transaction price of the package to the different online courses therein based on their relative standalone selling price.</w:t>
      </w:r>
    </w:p>
    <w:p>
      <w:pPr>
        <w:spacing w:after="0" w:line="53" w:lineRule="exact"/>
        <w:rPr>
          <w:rFonts w:ascii="Times New Roman" w:cs="Times New Roman" w:eastAsia="Times New Roman" w:hAnsi="Times New Roman"/>
          <w:sz w:val="18"/>
          <w:szCs w:val="18"/>
          <w:i w:val="1"/>
          <w:iCs w:val="1"/>
          <w:color w:val="auto"/>
        </w:rPr>
      </w:pPr>
    </w:p>
    <w:p>
      <w:pPr>
        <w:ind w:left="1180" w:right="80"/>
        <w:spacing w:after="0" w:line="27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Revenues of a training camp and of a self-study e-learning are recognized over time as the learners simultaneously receives and consumes the benefits provided by the online courses as they retain access to the course contents.</w:t>
      </w:r>
    </w:p>
    <w:p>
      <w:pPr>
        <w:spacing w:after="0" w:line="57" w:lineRule="exact"/>
        <w:rPr>
          <w:rFonts w:ascii="Times New Roman" w:cs="Times New Roman" w:eastAsia="Times New Roman" w:hAnsi="Times New Roman"/>
          <w:sz w:val="18"/>
          <w:szCs w:val="18"/>
          <w:i w:val="1"/>
          <w:iCs w:val="1"/>
          <w:color w:val="auto"/>
        </w:rPr>
      </w:pPr>
    </w:p>
    <w:p>
      <w:pPr>
        <w:ind w:left="1180" w:right="4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Contractually, through accessing to the Group’s online platforms, the learners retain access to the training camps or self-study e-learnings they purchased for a specified course period (typically 14 calendar days for a training camp and 90 calendar days for a self-study e-learning) since the training camp commencement date or the purchase date of the e-learnings. However, during the periods presented the Group in practice discretionally allows the learners to retain access to the course content beyond the corresponding contractual expiry dates. Therefore, the Group recognizes online course revenue ratably over the longer of the corresponding contractual service period and the estimated average learning period (the “Average Learning Period”) of the learners, starting when the online courses can be accessed by the learners and the payments from the learners become non-refundable.</w:t>
      </w:r>
    </w:p>
    <w:p>
      <w:pPr>
        <w:spacing w:after="0" w:line="80" w:lineRule="exact"/>
        <w:rPr>
          <w:rFonts w:ascii="Times New Roman" w:cs="Times New Roman" w:eastAsia="Times New Roman" w:hAnsi="Times New Roman"/>
          <w:sz w:val="18"/>
          <w:szCs w:val="18"/>
          <w:i w:val="1"/>
          <w:iCs w:val="1"/>
          <w:color w:val="auto"/>
        </w:rPr>
      </w:pPr>
    </w:p>
    <w:p>
      <w:pPr>
        <w:ind w:left="1180" w:right="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Group considers a variety of relevant data when estimating the Average Learning Period of the learners for each individual online course, including the weighted-average number of days between the learners’ first and last access to the course contents, and the weighted average total hours spent by the paying user to learn the course. The Group believes that considering these factors enables it to determine the best estimation of the time period during which the learners access the online course</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040"/>
          </w:cols>
          <w:pgMar w:left="320" w:top="452" w:right="5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right="200"/>
        <w:spacing w:after="0" w:line="256" w:lineRule="auto"/>
        <w:rPr>
          <w:sz w:val="20"/>
          <w:szCs w:val="20"/>
          <w:color w:val="auto"/>
        </w:rPr>
      </w:pPr>
      <w:r>
        <w:rPr>
          <w:rFonts w:ascii="Times New Roman" w:cs="Times New Roman" w:eastAsia="Times New Roman" w:hAnsi="Times New Roman"/>
          <w:sz w:val="18"/>
          <w:szCs w:val="18"/>
          <w:color w:val="auto"/>
        </w:rPr>
        <w:t>content and therefore the service period over which the Group provides services to the learners. For the track record period, the Average Learning Period of the learners is estimated to be in the range of one to three months. While the Group believes its estimates to be reasonable based on the currently available learners information, it may revise such estimates in the future according to the change in pattern of the learners’ learning behavior. Any adjustments arising from changes in the estimates of the</w:t>
      </w:r>
    </w:p>
    <w:p>
      <w:pPr>
        <w:spacing w:after="0" w:line="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Average Learning Periods is applied prospectively.</w:t>
      </w:r>
    </w:p>
    <w:p>
      <w:pPr>
        <w:spacing w:after="0" w:line="3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u w:val="single" w:color="auto"/>
          <w:color w:val="auto"/>
        </w:rPr>
        <w:t>Cooperated online learning services</w:t>
      </w:r>
    </w:p>
    <w:p>
      <w:pPr>
        <w:spacing w:after="0" w:line="114" w:lineRule="exact"/>
        <w:rPr>
          <w:sz w:val="20"/>
          <w:szCs w:val="20"/>
          <w:color w:val="auto"/>
        </w:rPr>
      </w:pPr>
    </w:p>
    <w:p>
      <w:pPr>
        <w:ind w:left="1180" w:right="40"/>
        <w:spacing w:after="0" w:line="251" w:lineRule="auto"/>
        <w:rPr>
          <w:sz w:val="20"/>
          <w:szCs w:val="20"/>
          <w:color w:val="auto"/>
        </w:rPr>
      </w:pPr>
      <w:r>
        <w:rPr>
          <w:rFonts w:ascii="Times New Roman" w:cs="Times New Roman" w:eastAsia="Times New Roman" w:hAnsi="Times New Roman"/>
          <w:sz w:val="18"/>
          <w:szCs w:val="18"/>
          <w:color w:val="auto"/>
        </w:rPr>
        <w:t>The Group generates revenue from cooperated online learning service by providing a platform through Jiangzhen, through which third party online learning service providers can offer their learning services to individual learners. The Group enters into contracts with the learners and also the third-party learning service providers. The Group is only responsible for referring the individual learners to the service provider, while the third-party learning service provider is responsible for developing the course content, delivering the online courses, providing customer support, and providing maintenance of servers allowing the users to access the contents. The Group determines that it is not the principal to the individual learners in this business and revenue is recognized on a net basis at the point in time when the referral service is completed.</w:t>
      </w:r>
    </w:p>
    <w:p>
      <w:pPr>
        <w:spacing w:after="0" w:line="331" w:lineRule="exact"/>
        <w:rPr>
          <w:sz w:val="20"/>
          <w:szCs w:val="20"/>
          <w:color w:val="auto"/>
        </w:rPr>
      </w:pPr>
    </w:p>
    <w:p>
      <w:pPr>
        <w:ind w:left="1160" w:hanging="535"/>
        <w:spacing w:after="0"/>
        <w:tabs>
          <w:tab w:leader="none" w:pos="1160" w:val="left"/>
        </w:tabs>
        <w:numPr>
          <w:ilvl w:val="0"/>
          <w:numId w:val="1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Enterprise services</w:t>
      </w:r>
    </w:p>
    <w:p>
      <w:pPr>
        <w:spacing w:after="0" w:line="114" w:lineRule="exact"/>
        <w:rPr>
          <w:rFonts w:ascii="Times New Roman" w:cs="Times New Roman" w:eastAsia="Times New Roman" w:hAnsi="Times New Roman"/>
          <w:sz w:val="18"/>
          <w:szCs w:val="18"/>
          <w:i w:val="1"/>
          <w:iCs w:val="1"/>
          <w:color w:val="auto"/>
        </w:rPr>
      </w:pPr>
    </w:p>
    <w:p>
      <w:pPr>
        <w:ind w:left="1180" w:right="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 from enterprise services mainly includes marketing and referral fees earned from financial intermediary enterprises including insurance intermediaries and securities brokerage firms. The Group’s online education content enables third party financial intermediary enterprises to place their sponsored links and reach learners who have desire to purchase insurance products, to open new security trading accounts, or to purchase other products or services provided by the financial intermediary enterprises.</w:t>
      </w:r>
    </w:p>
    <w:p>
      <w:pPr>
        <w:spacing w:after="0" w:line="74" w:lineRule="exact"/>
        <w:rPr>
          <w:rFonts w:ascii="Times New Roman" w:cs="Times New Roman" w:eastAsia="Times New Roman" w:hAnsi="Times New Roman"/>
          <w:sz w:val="18"/>
          <w:szCs w:val="18"/>
          <w:i w:val="1"/>
          <w:iCs w:val="1"/>
          <w:color w:val="auto"/>
        </w:rPr>
      </w:pPr>
    </w:p>
    <w:p>
      <w:pPr>
        <w:ind w:left="11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Performance-based online marketing service contracts are signed between the Group and the financial intermediary enterprises to establish the service to be provided by the Group and relevant performance measures. The Group is responsible for referring the individual learners to the financial intermediary enterprises. No enterprise service contract is signed between the Group and the learners who click on the sponsored links.</w:t>
      </w:r>
    </w:p>
    <w:p>
      <w:pPr>
        <w:spacing w:after="0" w:line="74" w:lineRule="exact"/>
        <w:rPr>
          <w:rFonts w:ascii="Times New Roman" w:cs="Times New Roman" w:eastAsia="Times New Roman" w:hAnsi="Times New Roman"/>
          <w:sz w:val="18"/>
          <w:szCs w:val="18"/>
          <w:i w:val="1"/>
          <w:iCs w:val="1"/>
          <w:color w:val="auto"/>
        </w:rPr>
      </w:pPr>
    </w:p>
    <w:p>
      <w:pPr>
        <w:ind w:left="1180" w:right="4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Group considered the third party financial intermediary enterprises as its customers, and recognized performance-based online marketing and referral service revenue at the point in time when the service is completed. The determination of the revenue from enterprise services is based on (i) the number of eligible leads referred to the financial intermediary enterprises and (ii) a percentage-based commission or standard unit price for each qualified lead referred. The eligible leads referred to an insurance intermediary are typically leads which successfully purchased insurance products through the insurance intermediary. The eligible leads to a securities brokerage firm are typically leads which successfully opened a brokerage account with the brokerage firm and satisfied quality requirements, including maintaining a minimum balance of average daily asset held by the referred learners in their brokerage accounts. For the variable considerations, the Group only includes estimated amounts in the transaction price to the extent it is probable that a significant reversal of cumulative revenue recognized for such transactions will not occur.</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20"/>
          </w:cols>
          <w:pgMar w:left="320" w:top="452" w:right="5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1160" w:hanging="535"/>
        <w:spacing w:after="0"/>
        <w:tabs>
          <w:tab w:leader="none" w:pos="1160" w:val="left"/>
        </w:tabs>
        <w:numPr>
          <w:ilvl w:val="0"/>
          <w:numId w:val="1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services</w:t>
      </w:r>
    </w:p>
    <w:p>
      <w:pPr>
        <w:spacing w:after="0" w:line="114" w:lineRule="exact"/>
        <w:rPr>
          <w:rFonts w:ascii="Times New Roman" w:cs="Times New Roman" w:eastAsia="Times New Roman" w:hAnsi="Times New Roman"/>
          <w:sz w:val="18"/>
          <w:szCs w:val="18"/>
          <w:i w:val="1"/>
          <w:iCs w:val="1"/>
          <w:color w:val="auto"/>
        </w:rPr>
      </w:pPr>
    </w:p>
    <w:p>
      <w:pPr>
        <w:ind w:left="118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services mainly consist of brokerage income from insurance brokerage services. The Group provides insurance brokerage services distributing various health and life insurance products on behalf of insurance companies (its customers). As an agent of the insurance company, the Group sells insurance policies on behalf of the insurance company and earns brokerage commissions determined as a percentage of premiums paid by the insured. The Group has identified its promise to sell insurance policies on behalf of an insurance company as the performance obligation in its contracts with the insurance companies. The Group’s performance obligation to the insurance company is satisfied and commission revenue is recognized at the point in time when an insurance policy becomes effective. For the variable considerations, the Group only includes estimated amounts in the transaction price to the extent it is probable that a significant reversal of cumulative revenue recognized for such transactions will not occur.</w:t>
      </w:r>
    </w:p>
    <w:p>
      <w:pPr>
        <w:spacing w:after="0" w:line="29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25" w:lineRule="exact"/>
        <w:rPr>
          <w:sz w:val="20"/>
          <w:szCs w:val="20"/>
          <w:color w:val="auto"/>
        </w:rPr>
      </w:pPr>
    </w:p>
    <w:p>
      <w:pPr>
        <w:ind w:left="1160" w:right="120" w:hanging="535"/>
        <w:spacing w:after="0" w:line="261" w:lineRule="auto"/>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82" w:lineRule="exact"/>
        <w:rPr>
          <w:rFonts w:ascii="Times New Roman" w:cs="Times New Roman" w:eastAsia="Times New Roman" w:hAnsi="Times New Roman"/>
          <w:sz w:val="18"/>
          <w:szCs w:val="18"/>
          <w:color w:val="auto"/>
        </w:rPr>
      </w:pPr>
    </w:p>
    <w:p>
      <w:pPr>
        <w:ind w:left="1160" w:right="120" w:hanging="535"/>
        <w:spacing w:after="0" w:line="275" w:lineRule="auto"/>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applied the portfolio approach in determining the learning period of the customers given that the effect of applying a portfolio approach to a group of learners’ behaviors would not differ materially from considering each one of them individually.</w:t>
      </w:r>
    </w:p>
    <w:p>
      <w:pPr>
        <w:spacing w:after="0" w:line="70"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expenses the costs to obtain a contract as incurred when the expected amortization period is one year or less.</w:t>
      </w:r>
    </w:p>
    <w:p>
      <w:pPr>
        <w:spacing w:after="0" w:line="320"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Contract balances</w:t>
      </w:r>
    </w:p>
    <w:p>
      <w:pPr>
        <w:spacing w:after="0" w:line="116" w:lineRule="exact"/>
        <w:rPr>
          <w:rFonts w:ascii="Times New Roman" w:cs="Times New Roman" w:eastAsia="Times New Roman" w:hAnsi="Times New Roman"/>
          <w:sz w:val="18"/>
          <w:szCs w:val="18"/>
          <w:color w:val="auto"/>
        </w:rPr>
      </w:pPr>
    </w:p>
    <w:p>
      <w:pPr>
        <w:ind w:left="118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278"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Contract liabilities</w:t>
      </w:r>
    </w:p>
    <w:p>
      <w:pPr>
        <w:spacing w:after="0" w:line="116" w:lineRule="exact"/>
        <w:rPr>
          <w:rFonts w:ascii="Times New Roman" w:cs="Times New Roman" w:eastAsia="Times New Roman" w:hAnsi="Times New Roman"/>
          <w:sz w:val="18"/>
          <w:szCs w:val="18"/>
          <w:color w:val="auto"/>
        </w:rPr>
      </w:pPr>
    </w:p>
    <w:p>
      <w:pPr>
        <w:ind w:left="118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liability is related to the payments received by the Group in advance from customers for which the Group’s revenue recognition criteria have not been met.</w:t>
      </w:r>
    </w:p>
    <w:p>
      <w:pPr>
        <w:spacing w:after="0" w:line="57" w:lineRule="exact"/>
        <w:rPr>
          <w:rFonts w:ascii="Times New Roman" w:cs="Times New Roman" w:eastAsia="Times New Roman" w:hAnsi="Times New Roman"/>
          <w:sz w:val="18"/>
          <w:szCs w:val="18"/>
          <w:color w:val="auto"/>
        </w:rPr>
      </w:pPr>
    </w:p>
    <w:p>
      <w:pPr>
        <w:ind w:left="11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online learning services, the service considerations are generally collected in advance and initially recorded as advance from customers during the contractual period where the Group allows the learners to ask for a full and unconditional refund. Subsequent to the expiry of the refund period, the balance of the advance from customers is reclassified as a contract liability.</w:t>
      </w:r>
    </w:p>
    <w:p>
      <w:pPr>
        <w:spacing w:after="0" w:line="69" w:lineRule="exact"/>
        <w:rPr>
          <w:rFonts w:ascii="Times New Roman" w:cs="Times New Roman" w:eastAsia="Times New Roman" w:hAnsi="Times New Roman"/>
          <w:sz w:val="18"/>
          <w:szCs w:val="18"/>
          <w:color w:val="auto"/>
        </w:rPr>
      </w:pPr>
    </w:p>
    <w:p>
      <w:pPr>
        <w:ind w:left="1180" w:righ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during the three-month period ended September 30, 2021 and 2022 that was included in the contract liabilities balances at July 1, 2021 and July 1, 2022 amounted to approximately RMB206,106 and RMB182,364, respectively.</w:t>
      </w:r>
    </w:p>
    <w:p>
      <w:pPr>
        <w:spacing w:after="0" w:line="57" w:lineRule="exact"/>
        <w:rPr>
          <w:rFonts w:ascii="Times New Roman" w:cs="Times New Roman" w:eastAsia="Times New Roman" w:hAnsi="Times New Roman"/>
          <w:sz w:val="18"/>
          <w:szCs w:val="18"/>
          <w:color w:val="auto"/>
        </w:rPr>
      </w:pPr>
    </w:p>
    <w:p>
      <w:pPr>
        <w:ind w:left="1180"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aggregate amount of transaction price allocated to unsatisfied performance obligations is RMB440,946 which includes balances of contract liabilities which will be recognized as revenue in future periods. The Group expects to recognize RMB436,359 of this balance as revenue over the next 12 months.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20"/>
          </w:cols>
          <w:pgMar w:left="320" w:top="452" w:right="5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80" w:right="40"/>
        <w:spacing w:after="0" w:line="261" w:lineRule="auto"/>
        <w:rPr>
          <w:sz w:val="20"/>
          <w:szCs w:val="20"/>
          <w:color w:val="auto"/>
        </w:rPr>
      </w:pPr>
      <w:r>
        <w:rPr>
          <w:rFonts w:ascii="Times New Roman" w:cs="Times New Roman" w:eastAsia="Times New Roman" w:hAnsi="Times New Roman"/>
          <w:sz w:val="18"/>
          <w:szCs w:val="18"/>
          <w:color w:val="auto"/>
        </w:rPr>
        <w:t>Refund liabilities represent the consideration collected by the Group which it expects to refund to its customers according to refund policy. Refund liabilities are estimated based on the historical refund ratio for each of the revenue streams. In the event that the actual amount of refund made exceeds the estimation, such excessive amount will be deducted from net revenues.</w:t>
      </w:r>
    </w:p>
    <w:p>
      <w:pPr>
        <w:spacing w:after="0" w:line="2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following table sets forth a breakdown of the Group’s revenues disaggregated by business line:</w:t>
      </w:r>
    </w:p>
    <w:p>
      <w:pPr>
        <w:spacing w:after="0" w:line="239"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906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tcBorders>
            <w:gridSpan w:val="2"/>
          </w:tcPr>
          <w:p>
            <w:pPr>
              <w:jc w:val="right"/>
              <w:ind w:right="15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760" w:type="dxa"/>
            <w:vAlign w:val="bottom"/>
            <w:tcBorders>
              <w:top w:val="single" w:sz="8" w:color="auto"/>
            </w:tcBorders>
          </w:tcPr>
          <w:p>
            <w:pPr>
              <w:jc w:val="right"/>
              <w:ind w:right="135"/>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3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learning services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 Financial literacy courses - self-operated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468,565</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personal interest courses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self-operated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116,520</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cooperated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647,780</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585,085</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services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744,041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ind w:left="620" w:hanging="421"/>
        <w:spacing w:after="0"/>
        <w:tabs>
          <w:tab w:leader="none" w:pos="62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Cost of revenues mainly consists of salaries and benefits (including share-based compensation expenses) to instructors and tutors who deliver premium courses, and the course content development staff who develop the premium courses, payment channel fees charged by third-party online payment providers, bandwidth costs, depreciation and amortization of properties and equipment, as well as costs of course materials. The instructors and course content development staff are all full-time employees, and their compensation primarily consists of base salary and bonus. The tutors consist of both full-time tutors and part-time tutors. Tutors’ compensation primarily consists of base salary and performance-based compensations.</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6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Sales and marketing expenses consist primarily of advertising and marketing promotion expenses, salaries and benefits (including share-based compensation expenses) of sales department staff who are also responsible for developing and delivering introductory courses, and other expenses incurred by the Group’s sales and marketing personnel. Advertising expenses are generally paid to the third parties for online promotion and traffic acquisition and are expensed as sales and marketing expenses when the services are received. For the three months ended September 30, 2021 and 2022, advertising and marketing promotion expenses were RMB504,178 and RMB422,207, respectively.</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5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General and administrative expenses consist primarily of salaries and benefits (including share-based compensation expenses) and related expenses for employees involved in general corporate functions, including finance, legal and human resources, rental fees, and professional service fees.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060"/>
          </w:cols>
          <w:pgMar w:left="320" w:top="452" w:right="5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2" w:lineRule="exact"/>
        <w:rPr>
          <w:sz w:val="20"/>
          <w:szCs w:val="20"/>
          <w:color w:val="auto"/>
        </w:rPr>
      </w:pPr>
    </w:p>
    <w:p>
      <w:pPr>
        <w:ind w:left="620" w:hanging="421"/>
        <w:spacing w:after="0"/>
        <w:tabs>
          <w:tab w:leader="none" w:pos="620" w:val="left"/>
        </w:tabs>
        <w:numPr>
          <w:ilvl w:val="0"/>
          <w:numId w:val="1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expenses primarily consist of (i) salaries and benefits for research and development personnel, and (ii) office rental, general expenses and depreciation expenses associated with the research and development activities. The Group’s research and development activities primarily consist of the development and enhancement of the Group’s applications and platforms.</w:t>
      </w:r>
    </w:p>
    <w:p>
      <w:pPr>
        <w:spacing w:after="0" w:line="69" w:lineRule="exact"/>
        <w:rPr>
          <w:rFonts w:ascii="Times New Roman" w:cs="Times New Roman" w:eastAsia="Times New Roman" w:hAnsi="Times New Roman"/>
          <w:sz w:val="18"/>
          <w:szCs w:val="18"/>
          <w:b w:val="1"/>
          <w:bCs w:val="1"/>
          <w:i w:val="1"/>
          <w:iCs w:val="1"/>
          <w:color w:val="auto"/>
        </w:rPr>
      </w:pPr>
    </w:p>
    <w:p>
      <w:pPr>
        <w:jc w:val="both"/>
        <w:ind w:left="640" w:right="440"/>
        <w:spacing w:after="0" w:line="28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For internal use software, the Group expenses all costs incurred for the preliminary project stage and post implementation-operation stage of development. The amount of the Group’s research and development expenses that qualify to be capitalized during the periods presented was immaterial, and as a result all development costs incurred for development of internal used software have been expensed as incurred.</w:t>
      </w:r>
    </w:p>
    <w:p>
      <w:pPr>
        <w:spacing w:after="0" w:line="301"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share-based awards granted to the founder, management, and employees, including restricted ordinary shares and share options, are measured at fair value on grant date. Share based compensation expense is recognized using the graded-vesting method over the requisite service period, which is the vesting period. The Company accounts for share-based compensation benefits granted to grantee in accordance with ASC 718 Stock Compensation. Information relating to the plans is set out in Note 14.</w:t>
      </w:r>
    </w:p>
    <w:p>
      <w:pPr>
        <w:spacing w:after="0" w:line="180" w:lineRule="exact"/>
        <w:rPr>
          <w:rFonts w:ascii="Times New Roman" w:cs="Times New Roman" w:eastAsia="Times New Roman" w:hAnsi="Times New Roman"/>
          <w:sz w:val="18"/>
          <w:szCs w:val="18"/>
          <w:b w:val="1"/>
          <w:bCs w:val="1"/>
          <w:i w:val="1"/>
          <w:iCs w:val="1"/>
          <w:color w:val="auto"/>
        </w:rPr>
      </w:pPr>
    </w:p>
    <w:p>
      <w:pPr>
        <w:ind w:left="640"/>
        <w:spacing w:after="0" w:line="25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Prior to the Reorganization, all the options and restricted ordinary shares were granted by Predecessors with their own underlying shares. The Predecessors have used the discounted cash flow method to determine the underlying equity fair value of the Predecessors and adopted an equity allocation model to determine the fair value of the underlying ordinary share. The determination of estimated fair value of share-based payment awards on the grant date using binomial option pricing model is affected by the fair value of Predecessors’ ordinary shares as well as assumptions regarding a number of complex and subjective variables. These variables include the expected value volatility of Predecessors’ shares over the expected term of the awards, actual and projected employee share option exercise behaviors, a risk-free interest rate and any expected dividends, if any.</w:t>
      </w:r>
    </w:p>
    <w:p>
      <w:pPr>
        <w:spacing w:after="0" w:line="80" w:lineRule="exact"/>
        <w:rPr>
          <w:rFonts w:ascii="Times New Roman" w:cs="Times New Roman" w:eastAsia="Times New Roman" w:hAnsi="Times New Roman"/>
          <w:sz w:val="18"/>
          <w:szCs w:val="18"/>
          <w:b w:val="1"/>
          <w:bCs w:val="1"/>
          <w:i w:val="1"/>
          <w:iCs w:val="1"/>
          <w:color w:val="auto"/>
        </w:rPr>
      </w:pPr>
    </w:p>
    <w:p>
      <w:pPr>
        <w:ind w:left="64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Some awards are granted with service only conditions and some awards granted with both performance conditions and service conditions. For awards granted with performance conditions and service conditions, the Company evaluates the likelihood of performance conditions being met at each reporting period. Share-based compensation costs are recorded when the performance conditions are considered probable for the number of awards expected to vest on a graded-vesting basis, net of estimated forfeitures, over the requisite service period. The compensation cost of the awards granted with performance conditions and service conditions is measured based on the fair value of the awards when all conditions to establish the grant date have been met.</w:t>
      </w:r>
    </w:p>
    <w:p>
      <w:pPr>
        <w:spacing w:after="0" w:line="32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Full-time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the VIE of the Group make contributions to the government for these benefits based on certain percentages of the employees’ salaries, up to a maximum amount specified by the local government. The Group has no legal obligation for the benefits beyond the contributions made. Employee social security and welfare benefits included as expenses in the unaudited interim condensed consolidated statements of operations and</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040"/>
          </w:cols>
          <w:pgMar w:left="320" w:top="452" w:right="5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line="261" w:lineRule="auto"/>
        <w:rPr>
          <w:sz w:val="20"/>
          <w:szCs w:val="20"/>
          <w:color w:val="auto"/>
        </w:rPr>
      </w:pPr>
      <w:r>
        <w:rPr>
          <w:rFonts w:ascii="Times New Roman" w:cs="Times New Roman" w:eastAsia="Times New Roman" w:hAnsi="Times New Roman"/>
          <w:sz w:val="18"/>
          <w:szCs w:val="18"/>
          <w:color w:val="auto"/>
        </w:rPr>
        <w:t>comprehensive loss amounted to RMB27,701 and RMB33,055 for the three months ended September 30, 2021 and 2022, respectively. The total balances of employee welfare benefits, including the accruals for estimated underpaid amounts, were approximately RMB30,974 and RMB37,956 as of June 30, 2022 and September 30, 2022, respectively.</w:t>
      </w:r>
    </w:p>
    <w:p>
      <w:pPr>
        <w:spacing w:after="0" w:line="318" w:lineRule="exact"/>
        <w:rPr>
          <w:sz w:val="20"/>
          <w:szCs w:val="20"/>
          <w:color w:val="auto"/>
        </w:rPr>
      </w:pPr>
    </w:p>
    <w:p>
      <w:pPr>
        <w:ind w:left="640" w:right="9420" w:hanging="441"/>
        <w:spacing w:after="0" w:line="394" w:lineRule="auto"/>
        <w:tabs>
          <w:tab w:leader="none" w:pos="632" w:val="left"/>
        </w:tabs>
        <w:numPr>
          <w:ilvl w:val="0"/>
          <w:numId w:val="19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Taxation Income taxes</w:t>
      </w:r>
    </w:p>
    <w:p>
      <w:pPr>
        <w:ind w:left="640"/>
        <w:spacing w:after="0" w:line="275"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Current income taxes are provided based on net profit (loss) for financial reporting purposes, adjusted for income and expense items which are not assessable or deductible for income tax purposes, in accordance with the regulations of the relevant tax jurisdictions.</w:t>
      </w:r>
    </w:p>
    <w:p>
      <w:pPr>
        <w:spacing w:after="0" w:line="57" w:lineRule="exact"/>
        <w:rPr>
          <w:rFonts w:ascii="Times New Roman" w:cs="Times New Roman" w:eastAsia="Times New Roman" w:hAnsi="Times New Roman"/>
          <w:sz w:val="17"/>
          <w:szCs w:val="17"/>
          <w:b w:val="1"/>
          <w:bCs w:val="1"/>
          <w:i w:val="1"/>
          <w:iCs w:val="1"/>
          <w:color w:val="auto"/>
        </w:rPr>
      </w:pPr>
    </w:p>
    <w:p>
      <w:pPr>
        <w:ind w:left="64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For interim financial reporting, the Group estimates the annual tax rate based on projected taxable income for the full year and records a quarterly income tax provision in accordance with the guidance on accounting for income taxes in an interim period. As the year progresses, the Group refines the estimates of the year’s taxable income as new information becomes available. This continual estimation process often results in a change to the expected effective tax rate for the year. When this occurs, the Group adjusts the income tax provision during the quarter in which the change in estimate occurs so that the year-to-date provision reflects the expected annual tax rate.</w:t>
      </w:r>
    </w:p>
    <w:p>
      <w:pPr>
        <w:spacing w:after="0" w:line="287" w:lineRule="exact"/>
        <w:rPr>
          <w:rFonts w:ascii="Times New Roman" w:cs="Times New Roman" w:eastAsia="Times New Roman" w:hAnsi="Times New Roman"/>
          <w:sz w:val="17"/>
          <w:szCs w:val="17"/>
          <w:b w:val="1"/>
          <w:bCs w:val="1"/>
          <w:i w:val="1"/>
          <w:iCs w:val="1"/>
          <w:color w:val="auto"/>
        </w:rPr>
      </w:pPr>
    </w:p>
    <w:p>
      <w:pPr>
        <w:ind w:left="6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b w:val="1"/>
          <w:bCs w:val="1"/>
          <w:i w:val="1"/>
          <w:iCs w:val="1"/>
          <w:color w:val="auto"/>
        </w:rPr>
        <w:t>Value added Tax (“VAT”)</w:t>
      </w:r>
    </w:p>
    <w:p>
      <w:pPr>
        <w:spacing w:after="0" w:line="116" w:lineRule="exact"/>
        <w:rPr>
          <w:rFonts w:ascii="Times New Roman" w:cs="Times New Roman" w:eastAsia="Times New Roman" w:hAnsi="Times New Roman"/>
          <w:sz w:val="17"/>
          <w:szCs w:val="17"/>
          <w:b w:val="1"/>
          <w:bCs w:val="1"/>
          <w:i w:val="1"/>
          <w:iCs w:val="1"/>
          <w:color w:val="auto"/>
        </w:rPr>
      </w:pPr>
    </w:p>
    <w:p>
      <w:pPr>
        <w:ind w:left="640" w:right="80"/>
        <w:spacing w:after="0" w:line="27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is subject to VAT at the rate of 6% depending on whether the entity is a general taxpayer, and related surcharges on revenue generated from providing services. Entities that are VAT general taxpayers are allowed to offset qualified input VAT, paid to suppliers against their output VAT liabilities. Net VAT balance between input VAT and output VAT is recorded in the line item of accrued expense and other liabilities on the face of balance sheet. The Group records revenue net of value added tax and the Group records the related surcharges as cost of revenues.</w:t>
      </w:r>
    </w:p>
    <w:p>
      <w:pPr>
        <w:spacing w:after="0" w:line="306" w:lineRule="exact"/>
        <w:rPr>
          <w:rFonts w:ascii="Times New Roman" w:cs="Times New Roman" w:eastAsia="Times New Roman" w:hAnsi="Times New Roman"/>
          <w:sz w:val="17"/>
          <w:szCs w:val="17"/>
          <w:b w:val="1"/>
          <w:bCs w:val="1"/>
          <w:i w:val="1"/>
          <w:iCs w:val="1"/>
          <w:color w:val="auto"/>
        </w:rPr>
      </w:pPr>
    </w:p>
    <w:p>
      <w:pPr>
        <w:ind w:left="620" w:hanging="421"/>
        <w:spacing w:after="0"/>
        <w:tabs>
          <w:tab w:leader="none" w:pos="620" w:val="left"/>
        </w:tabs>
        <w:numPr>
          <w:ilvl w:val="0"/>
          <w:numId w:val="1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loss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Comprehensive loss is defined to include all changes in equity/(deficit) of the Group during a period arising from transactions and other events and circumstances excluding transactions resulting from investments by shareholders and distributions to shareholders. Comprehensive loss includes net loss and foreign currency translation adjustments of the Group.</w:t>
      </w:r>
    </w:p>
    <w:p>
      <w:pPr>
        <w:spacing w:after="0" w:line="31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16" w:lineRule="exact"/>
        <w:rPr>
          <w:rFonts w:ascii="Times New Roman" w:cs="Times New Roman" w:eastAsia="Times New Roman" w:hAnsi="Times New Roman"/>
          <w:sz w:val="18"/>
          <w:szCs w:val="18"/>
          <w:b w:val="1"/>
          <w:bCs w:val="1"/>
          <w:i w:val="1"/>
          <w:iCs w:val="1"/>
          <w:color w:val="auto"/>
        </w:rPr>
      </w:pPr>
    </w:p>
    <w:p>
      <w:pPr>
        <w:ind w:left="640"/>
        <w:spacing w:after="0" w:line="27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Group’s chief operating decision maker, the Chief Executive Officer, reviews the consolidated results when making decisions about allocating resources and assessing performance of the Group as a whole and hence, the Group has only one reportable segment. The Company does not distinguish between markets or segments for the purpose of internal reporting. The Group’s long-lived assets are substantially all located in the PRC and substantially all the Group’s revenues are derived from within the PRC. Therefore, no geographical segments are presented.</w:t>
      </w:r>
    </w:p>
    <w:p>
      <w:pPr>
        <w:spacing w:after="0" w:line="306"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1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qualifies as an “emerging growth company”, or EGC, pursuant to the Jumpstart Our Business Startups Act of 2012, as amended, or the JOBS Act. As an EGC, the Group does not need to comply with</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020"/>
          </w:cols>
          <w:pgMar w:left="320" w:top="452" w:right="5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0"/>
        <w:spacing w:after="0" w:line="275" w:lineRule="auto"/>
        <w:rPr>
          <w:sz w:val="20"/>
          <w:szCs w:val="20"/>
          <w:color w:val="auto"/>
        </w:rPr>
      </w:pPr>
      <w:r>
        <w:rPr>
          <w:rFonts w:ascii="Times New Roman" w:cs="Times New Roman" w:eastAsia="Times New Roman" w:hAnsi="Times New Roman"/>
          <w:sz w:val="18"/>
          <w:szCs w:val="18"/>
          <w:color w:val="auto"/>
        </w:rPr>
        <w:t>any new or revised financial accounting standards until such date that a private company is otherwise required to comply with such new or revised accounting standards.</w:t>
      </w:r>
    </w:p>
    <w:p>
      <w:pPr>
        <w:spacing w:after="0" w:line="58"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Accounting for Convertible Instruments and Contracts in an Entity’s Own Equity. ASU 2020-06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The Group adopted this update on July 1, 2021. The impact of adopting the new standard was not material to the unaudited interim condensed consolidated financial statements.</w:t>
      </w:r>
    </w:p>
    <w:p>
      <w:pPr>
        <w:spacing w:after="0" w:line="335" w:lineRule="exact"/>
        <w:rPr>
          <w:sz w:val="20"/>
          <w:szCs w:val="20"/>
          <w:color w:val="auto"/>
        </w:rPr>
      </w:pPr>
    </w:p>
    <w:p>
      <w:pPr>
        <w:ind w:left="620" w:hanging="421"/>
        <w:spacing w:after="0"/>
        <w:tabs>
          <w:tab w:leader="none" w:pos="620" w:val="left"/>
        </w:tabs>
        <w:numPr>
          <w:ilvl w:val="0"/>
          <w:numId w:val="1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6" w:lineRule="exact"/>
        <w:rPr>
          <w:rFonts w:ascii="Times New Roman" w:cs="Times New Roman" w:eastAsia="Times New Roman" w:hAnsi="Times New Roman"/>
          <w:sz w:val="18"/>
          <w:szCs w:val="18"/>
          <w:b w:val="1"/>
          <w:bCs w:val="1"/>
          <w:i w:val="1"/>
          <w:iCs w:val="1"/>
          <w:color w:val="auto"/>
        </w:rPr>
      </w:pPr>
    </w:p>
    <w:p>
      <w:pPr>
        <w:ind w:left="640"/>
        <w:spacing w:after="0" w:line="25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2019, the FASB issued ASU 2019-12, Simplifying the Accounting for Income Taxes, which simplify various aspects related to accounting for income taxes. ASU 2019-12 removes certain exceptions to the general principles in ASC 740 and clarifies and amends existing guidance to improve consistent application. For public business entities, the amendments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Early adoption of the amendments is permitted. The Group plans to adopt the update for the fiscal year ended June 30, 2023, and for interim periods within fiscal year beginning July 1, 2023. The impact of adopting the new standard was not expected to be material to the consolidated financial statements.</w:t>
      </w:r>
    </w:p>
    <w:p>
      <w:pPr>
        <w:spacing w:after="0" w:line="80" w:lineRule="exact"/>
        <w:rPr>
          <w:rFonts w:ascii="Times New Roman" w:cs="Times New Roman" w:eastAsia="Times New Roman" w:hAnsi="Times New Roman"/>
          <w:sz w:val="18"/>
          <w:szCs w:val="18"/>
          <w:b w:val="1"/>
          <w:bCs w:val="1"/>
          <w:i w:val="1"/>
          <w:iCs w:val="1"/>
          <w:color w:val="auto"/>
        </w:rPr>
      </w:pPr>
    </w:p>
    <w:p>
      <w:pPr>
        <w:ind w:left="6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October 2021, the FASB issued ASU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public business entities for fiscal years beginning after December 15, 2022, including interim periods within those fiscal years. For all other entities, the amendments are effective for fiscal years beginning after December 15, 2023, including interim periods within those fiscal years. Early adoption of the amendments is permitted. The amendments should be applied prospectively to business combinations occurring on or after the effective date of the amendments. The Group has not determined yet to early adopt and plans to adopt the update starting from the fiscal year beginning on July 1, 2024. The Group is currently evaluating the impact of the new guidance on the consolidated financial statements.</w:t>
      </w:r>
    </w:p>
    <w:p>
      <w:pPr>
        <w:spacing w:after="0" w:line="319" w:lineRule="exact"/>
        <w:rPr>
          <w:sz w:val="20"/>
          <w:szCs w:val="20"/>
          <w:color w:val="auto"/>
        </w:rPr>
      </w:pPr>
    </w:p>
    <w:p>
      <w:pPr>
        <w:ind w:left="640" w:right="7680" w:hanging="441"/>
        <w:spacing w:after="0" w:line="393" w:lineRule="auto"/>
        <w:tabs>
          <w:tab w:leader="none" w:pos="632"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and risks </w:t>
      </w:r>
      <w:r>
        <w:rPr>
          <w:rFonts w:ascii="Times New Roman" w:cs="Times New Roman" w:eastAsia="Times New Roman" w:hAnsi="Times New Roman"/>
          <w:sz w:val="17"/>
          <w:szCs w:val="17"/>
          <w:i w:val="1"/>
          <w:iCs w:val="1"/>
          <w:color w:val="auto"/>
        </w:rPr>
        <w:t>Concentration of foreign currency risk</w:t>
      </w:r>
    </w:p>
    <w:p>
      <w:pPr>
        <w:jc w:val="both"/>
        <w:ind w:left="640" w:right="4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operating transactions are mainly denominated in RMB. RMB is not freely convertible into foreign currencies. The value of the RMB is subject to changes by the central government policies and to international economic and political developments. In the PRC, certain foreign exchange transactions are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40"/>
          </w:cols>
          <w:pgMar w:left="320" w:top="452" w:right="5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0"/>
        <w:spacing w:after="0" w:line="270" w:lineRule="auto"/>
        <w:rPr>
          <w:sz w:val="20"/>
          <w:szCs w:val="20"/>
          <w:color w:val="auto"/>
        </w:rPr>
      </w:pPr>
      <w:r>
        <w:rPr>
          <w:rFonts w:ascii="Times New Roman" w:cs="Times New Roman" w:eastAsia="Times New Roman" w:hAnsi="Times New Roman"/>
          <w:sz w:val="17"/>
          <w:szCs w:val="17"/>
          <w:color w:val="auto"/>
        </w:rPr>
        <w:t>required by law to be transacted only through authorized financial institutions at exchange rates set by the People’s Bank of China (the “PBOC”). Remittances in currencies other than RMB by the Group in the PRC must be processed through PBOC or other PRC foreign exchange regulatory bodies which require certain supporting documents in order to effect the remittances. As of June 30, 2022, the Group’s cash and cash equivalents and short-term investments denominated in RMB were RMB346,667, accounting for 86.87% of the Group’s total cash and cash equivalents and short-term investments. As of September 30, 2022, the Group’s cash and cash equivalents, restricted cash and short-term investments denominated in RMB were RMB414,113, accounting for 90.73% of the Group’s total cash and cash equivalents, restricted cash and short-term investments.</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114" w:lineRule="exact"/>
        <w:rPr>
          <w:sz w:val="20"/>
          <w:szCs w:val="20"/>
          <w:color w:val="auto"/>
        </w:rPr>
      </w:pPr>
    </w:p>
    <w:p>
      <w:pPr>
        <w:jc w:val="both"/>
        <w:ind w:left="640" w:right="240"/>
        <w:spacing w:after="0" w:line="261" w:lineRule="auto"/>
        <w:rPr>
          <w:sz w:val="20"/>
          <w:szCs w:val="20"/>
          <w:color w:val="auto"/>
        </w:rPr>
      </w:pPr>
      <w:r>
        <w:rPr>
          <w:rFonts w:ascii="Times New Roman" w:cs="Times New Roman" w:eastAsia="Times New Roman" w:hAnsi="Times New Roman"/>
          <w:sz w:val="18"/>
          <w:szCs w:val="18"/>
          <w:color w:val="auto"/>
        </w:rPr>
        <w:t>There were no customers accounted for more than 10% of the Group’s total revenues for the three months ended September 30, 2021 and 2022, respectively. There were one and one customer individually accounted for more than 10% of the Group’s net accounts receivable as of June 30, 2022 and September 30, 2022, respectively.</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5"/>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Accounts receivables, net</w:t>
            </w:r>
          </w:p>
        </w:tc>
        <w:tc>
          <w:tcPr>
            <w:tcW w:w="328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20" w:type="dxa"/>
            <w:vAlign w:val="bottom"/>
            <w:tcBorders>
              <w:top w:val="single" w:sz="8" w:color="auto"/>
            </w:tcBorders>
            <w:gridSpan w:val="2"/>
          </w:tcPr>
          <w:p>
            <w:pPr>
              <w:jc w:val="center"/>
              <w:ind w:left="452"/>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vMerge w:val="continue"/>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3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940" w:right="280" w:hanging="315"/>
        <w:spacing w:after="0" w:line="284" w:lineRule="auto"/>
        <w:tabs>
          <w:tab w:leader="none" w:pos="940" w:val="left"/>
        </w:tabs>
        <w:numPr>
          <w:ilvl w:val="0"/>
          <w:numId w:val="19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Customer A is Beijing Baichuan Insurance Brokerage Co., Ltd., a related party of the Group, from which the gross accounts receivable for marketing services were RMB23,202 and RMB25,000 as of June 30, 2022 and September 30,2022, respectively, and recorded in “amounts due from related parties”, which represents 92.2%, 85.6% of all accounts receivables from third parties and related parties, respectively.</w:t>
      </w:r>
    </w:p>
    <w:p>
      <w:pPr>
        <w:spacing w:after="0" w:line="53" w:lineRule="exact"/>
        <w:rPr>
          <w:sz w:val="20"/>
          <w:szCs w:val="20"/>
          <w:color w:val="auto"/>
        </w:rPr>
      </w:pPr>
    </w:p>
    <w:p>
      <w:pPr>
        <w:jc w:val="both"/>
        <w:ind w:left="640" w:right="40"/>
        <w:spacing w:after="0" w:line="261" w:lineRule="auto"/>
        <w:rPr>
          <w:sz w:val="20"/>
          <w:szCs w:val="20"/>
          <w:color w:val="auto"/>
        </w:rPr>
      </w:pPr>
      <w:r>
        <w:rPr>
          <w:rFonts w:ascii="Times New Roman" w:cs="Times New Roman" w:eastAsia="Times New Roman" w:hAnsi="Times New Roman"/>
          <w:sz w:val="18"/>
          <w:szCs w:val="18"/>
          <w:color w:val="auto"/>
        </w:rPr>
        <w:t>Also, there was one supplier, an advertising and marketing promotion agency, that individually accounted for more than 10% of the Group’s total costs and expenses for the three months ended September 30, 2021. There was no supplier which individually accounted for more than 10% of the Group’s total costs and expenses for the three months ended September 30, 2022.</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Credit and concentration risk</w:t>
      </w:r>
    </w:p>
    <w:p>
      <w:pPr>
        <w:spacing w:after="0" w:line="114" w:lineRule="exact"/>
        <w:rPr>
          <w:sz w:val="20"/>
          <w:szCs w:val="20"/>
          <w:color w:val="auto"/>
        </w:rPr>
      </w:pPr>
    </w:p>
    <w:p>
      <w:pPr>
        <w:ind w:left="640" w:right="26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significant concentration of credit risk primarily consist of cash and cash equivalents and short-term investment. As of June 30, 2022 and September 30, 2022, substantially all the Group’s cash and cash equivalents and short-term investments were held in major financial institutions located in Mainland China and Hong Kong, which management considered to be of high credit quality.</w:t>
      </w:r>
    </w:p>
    <w:p>
      <w:pPr>
        <w:spacing w:after="0" w:line="325" w:lineRule="exact"/>
        <w:rPr>
          <w:sz w:val="20"/>
          <w:szCs w:val="20"/>
          <w:color w:val="auto"/>
        </w:rPr>
      </w:pPr>
    </w:p>
    <w:p>
      <w:pPr>
        <w:ind w:left="620" w:hanging="421"/>
        <w:spacing w:after="0"/>
        <w:tabs>
          <w:tab w:leader="none" w:pos="62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accounts receivable, net, as of June 30, 2022 and September 30, 2022, consists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35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700" w:type="dxa"/>
            <w:vAlign w:val="bottom"/>
            <w:tcBorders>
              <w:top w:val="single" w:sz="8" w:color="auto"/>
            </w:tcBorders>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60" w:type="dxa"/>
            <w:vAlign w:val="bottom"/>
            <w:tcBorders>
              <w:top w:val="single" w:sz="8" w:color="auto"/>
            </w:tcBorders>
            <w:gridSpan w:val="2"/>
          </w:tcPr>
          <w:p>
            <w:pPr>
              <w:jc w:val="center"/>
              <w:ind w:left="321"/>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r>
      <w:tr>
        <w:trPr>
          <w:trHeight w:val="171"/>
        </w:trPr>
        <w:tc>
          <w:tcPr>
            <w:tcW w:w="3560" w:type="dxa"/>
            <w:vAlign w:val="bottom"/>
          </w:tcPr>
          <w:p>
            <w:pPr>
              <w:spacing w:after="0"/>
              <w:rPr>
                <w:sz w:val="14"/>
                <w:szCs w:val="14"/>
                <w:color w:val="auto"/>
              </w:rPr>
            </w:pPr>
          </w:p>
        </w:tc>
        <w:tc>
          <w:tcPr>
            <w:tcW w:w="5280" w:type="dxa"/>
            <w:vAlign w:val="bottom"/>
            <w:gridSpan w:val="2"/>
          </w:tcPr>
          <w:p>
            <w:pPr>
              <w:jc w:val="center"/>
              <w:ind w:left="46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126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r>
      <w:tr>
        <w:trPr>
          <w:trHeight w:val="140"/>
        </w:trPr>
        <w:tc>
          <w:tcPr>
            <w:tcW w:w="3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0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services</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shd w:val="clear" w:color="auto" w:fill="CCEEFF"/>
          </w:tcPr>
          <w:p>
            <w:pPr>
              <w:spacing w:after="0"/>
              <w:rPr>
                <w:sz w:val="18"/>
                <w:szCs w:val="18"/>
                <w:color w:val="auto"/>
              </w:rPr>
            </w:pP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r>
      <w:tr>
        <w:trPr>
          <w:trHeight w:val="21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5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r>
      <w:tr>
        <w:trPr>
          <w:trHeight w:val="21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3,870</w:t>
            </w:r>
          </w:p>
        </w:tc>
        <w:tc>
          <w:tcPr>
            <w:tcW w:w="12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560" w:type="dxa"/>
            <w:vAlign w:val="bottom"/>
          </w:tcPr>
          <w:p>
            <w:pPr>
              <w:spacing w:after="0"/>
              <w:rPr>
                <w:sz w:val="24"/>
                <w:szCs w:val="24"/>
                <w:color w:val="auto"/>
              </w:rPr>
            </w:pPr>
          </w:p>
        </w:tc>
        <w:tc>
          <w:tcPr>
            <w:tcW w:w="5480" w:type="dxa"/>
            <w:vAlign w:val="bottom"/>
            <w:gridSpan w:val="3"/>
          </w:tcPr>
          <w:p>
            <w:pPr>
              <w:jc w:val="right"/>
              <w:ind w:right="3880"/>
              <w:spacing w:after="0"/>
              <w:rPr>
                <w:sz w:val="20"/>
                <w:szCs w:val="20"/>
                <w:color w:val="auto"/>
              </w:rPr>
            </w:pPr>
            <w:r>
              <w:rPr>
                <w:rFonts w:ascii="Times New Roman" w:cs="Times New Roman" w:eastAsia="Times New Roman" w:hAnsi="Times New Roman"/>
                <w:sz w:val="18"/>
                <w:szCs w:val="18"/>
                <w:color w:val="auto"/>
              </w:rPr>
              <w:t>F-91</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20"/>
        <w:spacing w:after="0" w:line="275" w:lineRule="auto"/>
        <w:rPr>
          <w:sz w:val="20"/>
          <w:szCs w:val="20"/>
          <w:color w:val="auto"/>
        </w:rPr>
      </w:pPr>
      <w:r>
        <w:rPr>
          <w:rFonts w:ascii="Times New Roman" w:cs="Times New Roman" w:eastAsia="Times New Roman" w:hAnsi="Times New Roman"/>
          <w:sz w:val="18"/>
          <w:szCs w:val="18"/>
          <w:color w:val="auto"/>
        </w:rPr>
        <w:t>Accounts receivable, net are mainly amounts due from insurance intermediaries and securities brokerage firms, and are non-interest bearing and generally on terms between 30 days to 90 days.</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movements in the allowance for credit losses are as follows:</w:t>
      </w:r>
    </w:p>
    <w:p>
      <w:pPr>
        <w:spacing w:after="0" w:line="23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38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80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8060" w:type="dxa"/>
            <w:vAlign w:val="bottom"/>
          </w:tcPr>
          <w:p>
            <w:pPr>
              <w:spacing w:after="0"/>
              <w:rPr>
                <w:sz w:val="12"/>
                <w:szCs w:val="12"/>
                <w:color w:val="auto"/>
              </w:rPr>
            </w:pPr>
          </w:p>
        </w:tc>
        <w:tc>
          <w:tcPr>
            <w:tcW w:w="700" w:type="dxa"/>
            <w:vAlign w:val="bottom"/>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Pr>
          <w:p>
            <w:pPr>
              <w:spacing w:after="0"/>
              <w:rPr>
                <w:sz w:val="12"/>
                <w:szCs w:val="12"/>
                <w:color w:val="auto"/>
              </w:rPr>
            </w:pPr>
          </w:p>
        </w:tc>
        <w:tc>
          <w:tcPr>
            <w:tcW w:w="700" w:type="dxa"/>
            <w:vAlign w:val="bottom"/>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(446)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Reversals/(Additions)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r>
      <w:tr>
        <w:trPr>
          <w:trHeight w:val="21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5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8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2" w:lineRule="exact"/>
        <w:rPr>
          <w:sz w:val="20"/>
          <w:szCs w:val="20"/>
          <w:color w:val="auto"/>
        </w:rPr>
      </w:pPr>
    </w:p>
    <w:p>
      <w:pPr>
        <w:ind w:left="620" w:hanging="421"/>
        <w:spacing w:after="0"/>
        <w:tabs>
          <w:tab w:leader="none" w:pos="62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as of June 30, 2022 and September 30,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top w:val="single" w:sz="8" w:color="auto"/>
            </w:tcBorders>
            <w:gridSpan w:val="2"/>
          </w:tcPr>
          <w:p>
            <w:pPr>
              <w:jc w:val="center"/>
              <w:ind w:left="277"/>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9"/>
                <w:szCs w:val="9"/>
                <w:color w:val="auto"/>
              </w:rPr>
            </w:pP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20" w:type="dxa"/>
            <w:vAlign w:val="bottom"/>
            <w:gridSpan w:val="2"/>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promotion fees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Prepaid input value-added tax</w:t>
            </w:r>
            <w:r>
              <w:rPr>
                <w:rFonts w:ascii="Times New Roman" w:cs="Times New Roman" w:eastAsia="Times New Roman" w:hAnsi="Times New Roman"/>
                <w:sz w:val="24"/>
                <w:szCs w:val="24"/>
                <w:color w:val="auto"/>
                <w:vertAlign w:val="superscript"/>
              </w:rPr>
              <w:t>(i)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Prepaid other service fees</w:t>
            </w:r>
            <w:r>
              <w:rPr>
                <w:rFonts w:ascii="Times New Roman" w:cs="Times New Roman" w:eastAsia="Times New Roman" w:hAnsi="Times New Roman"/>
                <w:sz w:val="24"/>
                <w:szCs w:val="24"/>
                <w:color w:val="auto"/>
                <w:vertAlign w:val="superscript"/>
              </w:rPr>
              <w:t>(ii)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Receivables from third party payment platforms </w:t>
            </w:r>
            <w:r>
              <w:rPr>
                <w:rFonts w:ascii="Times New Roman" w:cs="Times New Roman" w:eastAsia="Times New Roman" w:hAnsi="Times New Roman"/>
                <w:sz w:val="24"/>
                <w:szCs w:val="24"/>
                <w:color w:val="auto"/>
                <w:vertAlign w:val="superscript"/>
              </w:rPr>
              <w:t>(iii)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listing expenses</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123,638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60" w:hanging="535"/>
        <w:spacing w:after="0"/>
        <w:tabs>
          <w:tab w:leader="none" w:pos="11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input value-added tax consists of VAT input that is expected to offset with VAT output tax or to be transferred out in the future.</w:t>
      </w:r>
    </w:p>
    <w:p>
      <w:pPr>
        <w:spacing w:after="0" w:line="24"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other service fees consist of prepayment of cloud server hosting fees and others.</w:t>
      </w:r>
    </w:p>
    <w:p>
      <w:pPr>
        <w:spacing w:after="0" w:line="5" w:lineRule="exact"/>
        <w:rPr>
          <w:rFonts w:ascii="Times New Roman" w:cs="Times New Roman" w:eastAsia="Times New Roman" w:hAnsi="Times New Roman"/>
          <w:sz w:val="18"/>
          <w:szCs w:val="18"/>
          <w:color w:val="auto"/>
        </w:rPr>
      </w:pPr>
    </w:p>
    <w:p>
      <w:pPr>
        <w:ind w:left="1160" w:right="120" w:hanging="535"/>
        <w:spacing w:after="0" w:line="253" w:lineRule="auto"/>
        <w:tabs>
          <w:tab w:leader="none" w:pos="11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from third party payment platforms consist of cash that has been received from course participants but held by the third-party payment platforms. The Group subsequently collected the full balance from the third-party payment platforms.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060"/>
          </w:cols>
          <w:pgMar w:left="320" w:top="452" w:right="5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June 30, 2022 and September 30,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680" w:type="dxa"/>
            <w:vAlign w:val="bottom"/>
            <w:tcBorders>
              <w:top w:val="single" w:sz="8" w:color="auto"/>
            </w:tcBorders>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Borders>
              <w:top w:val="single" w:sz="8" w:color="auto"/>
            </w:tcBorders>
            <w:gridSpan w:val="2"/>
          </w:tcPr>
          <w:p>
            <w:pPr>
              <w:jc w:val="center"/>
              <w:ind w:left="201"/>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1140" w:type="dxa"/>
            <w:vAlign w:val="bottom"/>
            <w:gridSpan w:val="2"/>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(4,168)</w:t>
            </w:r>
          </w:p>
        </w:tc>
      </w:tr>
      <w:tr>
        <w:trPr>
          <w:trHeight w:val="213"/>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Depreciation expenses for the three months ended September 30, 2021 and 2022 were RMB846 and RMB789, respectively.</w:t>
      </w:r>
    </w:p>
    <w:p>
      <w:pPr>
        <w:spacing w:after="0" w:line="363" w:lineRule="exact"/>
        <w:rPr>
          <w:sz w:val="20"/>
          <w:szCs w:val="20"/>
          <w:color w:val="auto"/>
        </w:rPr>
      </w:pPr>
    </w:p>
    <w:p>
      <w:pPr>
        <w:ind w:left="620" w:hanging="421"/>
        <w:spacing w:after="0"/>
        <w:tabs>
          <w:tab w:leader="none" w:pos="6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as of June 30, 2022 and September 30, 2022 consist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700" w:type="dxa"/>
            <w:vAlign w:val="bottom"/>
            <w:tcBorders>
              <w:top w:val="single" w:sz="8" w:color="auto"/>
            </w:tcBorders>
            <w:gridSpan w:val="2"/>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80" w:type="dxa"/>
            <w:vAlign w:val="bottom"/>
            <w:tcBorders>
              <w:top w:val="single" w:sz="8" w:color="auto"/>
            </w:tcBorders>
            <w:gridSpan w:val="2"/>
          </w:tcPr>
          <w:p>
            <w:pPr>
              <w:jc w:val="center"/>
              <w:ind w:left="351"/>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9"/>
                <w:szCs w:val="9"/>
                <w:color w:val="auto"/>
              </w:rPr>
            </w:pPr>
          </w:p>
        </w:tc>
      </w:t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280" w:type="dxa"/>
            <w:vAlign w:val="bottom"/>
            <w:gridSpan w:val="2"/>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20" w:type="dxa"/>
            <w:vAlign w:val="bottom"/>
            <w:tcBorders>
              <w:top w:val="single" w:sz="8" w:color="auto"/>
            </w:tcBorders>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license</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80"/>
        <w:spacing w:after="0" w:line="252" w:lineRule="auto"/>
        <w:rPr>
          <w:sz w:val="20"/>
          <w:szCs w:val="20"/>
          <w:color w:val="auto"/>
        </w:rPr>
      </w:pPr>
      <w:r>
        <w:rPr>
          <w:rFonts w:ascii="Times New Roman" w:cs="Times New Roman" w:eastAsia="Times New Roman" w:hAnsi="Times New Roman"/>
          <w:sz w:val="18"/>
          <w:szCs w:val="18"/>
          <w:color w:val="auto"/>
        </w:rPr>
        <w:t>On November 27, 2020, Changyou Star purchased 100% equity of Beijing Baichuan Insurance Brokerage Co., Ltd. from third parties for a consideration of RMB30,000. Before the acquisition, there were no operations or employees in the acquiree, and substantially all of the fair value of the gross assets acquired concentrated in the acquiree’s insurance brokerage license, thus the acquisition was accounted for as an asset acquisition and management recognized the insurance brokerage license as intangible asset, which had a useful life of 52 months and is amortized on a straight-line basis. The Group then developed the Brokerage Business in Baichuan. On March 1, 2022, the brokerage license was disposed together with the disposal of Baichuan’s business (Note 19).</w:t>
      </w:r>
    </w:p>
    <w:p>
      <w:pPr>
        <w:spacing w:after="0" w:line="79" w:lineRule="exact"/>
        <w:rPr>
          <w:sz w:val="20"/>
          <w:szCs w:val="20"/>
          <w:color w:val="auto"/>
        </w:rPr>
      </w:pPr>
    </w:p>
    <w:p>
      <w:pPr>
        <w:ind w:left="640" w:right="380"/>
        <w:spacing w:after="0" w:line="275" w:lineRule="auto"/>
        <w:rPr>
          <w:sz w:val="20"/>
          <w:szCs w:val="20"/>
          <w:color w:val="auto"/>
        </w:rPr>
      </w:pPr>
      <w:r>
        <w:rPr>
          <w:rFonts w:ascii="Times New Roman" w:cs="Times New Roman" w:eastAsia="Times New Roman" w:hAnsi="Times New Roman"/>
          <w:sz w:val="18"/>
          <w:szCs w:val="18"/>
          <w:color w:val="auto"/>
        </w:rPr>
        <w:t>Amortization expense on intangible assets for the three months ended September 30, 2021 and 2022 were RMB2,536 and nil respectively. No impairment for intangible assets was recorded for the three months ended September 30, 2021 and 2022.</w:t>
      </w:r>
    </w:p>
    <w:p>
      <w:pPr>
        <w:spacing w:after="0" w:line="308" w:lineRule="exact"/>
        <w:rPr>
          <w:sz w:val="20"/>
          <w:szCs w:val="20"/>
          <w:color w:val="auto"/>
        </w:rPr>
      </w:pPr>
    </w:p>
    <w:p>
      <w:pPr>
        <w:ind w:left="620" w:hanging="421"/>
        <w:spacing w:after="0"/>
        <w:tabs>
          <w:tab w:leader="none" w:pos="62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payables</w:t>
      </w:r>
    </w:p>
    <w:p>
      <w:pPr>
        <w:spacing w:after="0" w:line="114" w:lineRule="exact"/>
        <w:rPr>
          <w:rFonts w:ascii="Times New Roman" w:cs="Times New Roman" w:eastAsia="Times New Roman" w:hAnsi="Times New Roman"/>
          <w:sz w:val="18"/>
          <w:szCs w:val="18"/>
          <w:b w:val="1"/>
          <w:bCs w:val="1"/>
          <w:color w:val="auto"/>
        </w:rPr>
      </w:pPr>
    </w:p>
    <w:p>
      <w:pPr>
        <w:ind w:left="6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amounts represent liabilities for services provided to the Group prior to the end of financial period which are unpaid. The amounts are unsecured and are usually paid within 30 days of recognition. Accounts payables are mainly comprised of marketing promotion expenses payables to third parties as of June 30, 2022 and September 30, 2022.</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060"/>
          </w:cols>
          <w:pgMar w:left="320" w:top="452" w:right="5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14" w:lineRule="exact"/>
        <w:rPr>
          <w:rFonts w:ascii="Times New Roman" w:cs="Times New Roman" w:eastAsia="Times New Roman" w:hAnsi="Times New Roman"/>
          <w:sz w:val="18"/>
          <w:szCs w:val="18"/>
          <w:b w:val="1"/>
          <w:bCs w:val="1"/>
          <w:color w:val="auto"/>
        </w:rPr>
      </w:pPr>
    </w:p>
    <w:p>
      <w:pPr>
        <w:ind w:left="640" w:right="3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summarized the Group’s outstanding accrued expenses and other current liabilities as of June 30, 2022 and September 30, 2022, respectively:</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8500" w:type="dxa"/>
            <w:vAlign w:val="bottom"/>
          </w:tcPr>
          <w:p>
            <w:pPr>
              <w:spacing w:after="0"/>
              <w:rPr>
                <w:sz w:val="9"/>
                <w:szCs w:val="9"/>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top w:val="single" w:sz="8" w:color="auto"/>
            </w:tcBorders>
            <w:gridSpan w:val="2"/>
          </w:tcPr>
          <w:p>
            <w:pPr>
              <w:jc w:val="center"/>
              <w:ind w:left="279"/>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9"/>
                <w:szCs w:val="9"/>
                <w:color w:val="auto"/>
              </w:rPr>
            </w:pPr>
          </w:p>
        </w:tc>
      </w:tr>
      <w:tr>
        <w:trPr>
          <w:trHeight w:val="171"/>
        </w:trPr>
        <w:tc>
          <w:tcPr>
            <w:tcW w:w="8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2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r>
      <w:tr>
        <w:trPr>
          <w:trHeight w:val="140"/>
        </w:trPr>
        <w:tc>
          <w:tcPr>
            <w:tcW w:w="85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payroll and welfare benefits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93,384</w:t>
            </w:r>
          </w:p>
        </w:tc>
        <w:tc>
          <w:tcPr>
            <w:tcW w:w="60" w:type="dxa"/>
            <w:vAlign w:val="bottom"/>
            <w:shd w:val="clear" w:color="auto" w:fill="CCEEFF"/>
          </w:tcPr>
          <w:p>
            <w:pPr>
              <w:spacing w:after="0"/>
              <w:rPr>
                <w:sz w:val="18"/>
                <w:szCs w:val="18"/>
                <w:color w:val="auto"/>
              </w:rPr>
            </w:pPr>
          </w:p>
        </w:tc>
      </w:tr>
      <w:tr>
        <w:trPr>
          <w:trHeight w:val="21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60" w:type="dxa"/>
            <w:vAlign w:val="bottom"/>
          </w:tcPr>
          <w:p>
            <w:pPr>
              <w:spacing w:after="0"/>
              <w:rPr>
                <w:sz w:val="18"/>
                <w:szCs w:val="18"/>
                <w:color w:val="auto"/>
              </w:rPr>
            </w:pPr>
          </w:p>
        </w:tc>
      </w:tr>
      <w:tr>
        <w:trPr>
          <w:trHeight w:val="213"/>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60" w:type="dxa"/>
            <w:vAlign w:val="bottom"/>
            <w:shd w:val="clear" w:color="auto" w:fill="CCEEFF"/>
          </w:tcPr>
          <w:p>
            <w:pPr>
              <w:spacing w:after="0"/>
              <w:rPr>
                <w:sz w:val="18"/>
                <w:szCs w:val="18"/>
                <w:color w:val="auto"/>
              </w:rPr>
            </w:pPr>
          </w:p>
        </w:tc>
      </w:tr>
      <w:tr>
        <w:trPr>
          <w:trHeight w:val="213"/>
        </w:trPr>
        <w:tc>
          <w:tcPr>
            <w:tcW w:w="85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Refund liability</w:t>
            </w:r>
            <w:r>
              <w:rPr>
                <w:rFonts w:ascii="Times New Roman" w:cs="Times New Roman" w:eastAsia="Times New Roman" w:hAnsi="Times New Roman"/>
                <w:sz w:val="24"/>
                <w:szCs w:val="24"/>
                <w:color w:val="auto"/>
                <w:vertAlign w:val="superscript"/>
              </w:rPr>
              <w:t>(i)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60" w:type="dxa"/>
            <w:vAlign w:val="bottom"/>
          </w:tcPr>
          <w:p>
            <w:pPr>
              <w:spacing w:after="0"/>
              <w:rPr>
                <w:sz w:val="18"/>
                <w:szCs w:val="18"/>
                <w:color w:val="auto"/>
              </w:rPr>
            </w:pPr>
          </w:p>
        </w:tc>
      </w:tr>
      <w:tr>
        <w:trPr>
          <w:trHeight w:val="213"/>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shd w:val="clear" w:color="auto" w:fill="CCEEFF"/>
          </w:tcPr>
          <w:p>
            <w:pPr>
              <w:spacing w:after="0"/>
              <w:rPr>
                <w:sz w:val="18"/>
                <w:szCs w:val="18"/>
                <w:color w:val="auto"/>
              </w:rPr>
            </w:pPr>
          </w:p>
        </w:tc>
      </w:tr>
      <w:tr>
        <w:trPr>
          <w:trHeight w:val="219"/>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108,592</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131,719</w:t>
            </w:r>
          </w:p>
        </w:tc>
        <w:tc>
          <w:tcPr>
            <w:tcW w:w="6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p>
      <w:pPr>
        <w:ind w:left="1160" w:right="540" w:hanging="535"/>
        <w:spacing w:after="0" w:line="277" w:lineRule="auto"/>
        <w:tabs>
          <w:tab w:leader="none" w:pos="1160" w:val="left"/>
        </w:tabs>
        <w:numPr>
          <w:ilvl w:val="1"/>
          <w:numId w:val="2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 liability represents the estimated amounts of consideration collected by the Group which it expects to refund to its customers according to refund policy as described in Note 2(p).</w:t>
      </w:r>
    </w:p>
    <w:p>
      <w:pPr>
        <w:spacing w:after="0" w:line="306" w:lineRule="exact"/>
        <w:rPr>
          <w:rFonts w:ascii="Times New Roman" w:cs="Times New Roman" w:eastAsia="Times New Roman" w:hAnsi="Times New Roman"/>
          <w:sz w:val="18"/>
          <w:szCs w:val="18"/>
          <w:i w:val="1"/>
          <w:iCs w:val="1"/>
          <w:color w:val="auto"/>
        </w:rPr>
      </w:pPr>
    </w:p>
    <w:p>
      <w:pPr>
        <w:ind w:left="620" w:hanging="421"/>
        <w:spacing w:after="0"/>
        <w:tabs>
          <w:tab w:leader="none" w:pos="62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114" w:lineRule="exact"/>
        <w:rPr>
          <w:rFonts w:ascii="Times New Roman" w:cs="Times New Roman" w:eastAsia="Times New Roman" w:hAnsi="Times New Roman"/>
          <w:sz w:val="18"/>
          <w:szCs w:val="18"/>
          <w:b w:val="1"/>
          <w:bCs w:val="1"/>
          <w:color w:val="auto"/>
        </w:rPr>
      </w:pPr>
    </w:p>
    <w:p>
      <w:pPr>
        <w:ind w:left="64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operating leases for corporate offices with the lease terms from within 1 month to 3 years, some of which include options to terminate the leases within certain periods. For operating leases with terms greater than 12 months, the Group records the related assets and lease liability at the present value of lease payments over the terms. Certain leases include rental escalation clauses, renewal options and/or termination option, which are factored into the Group’s determination of lease payments when appropriate.</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15"/>
        </w:trPr>
        <w:tc>
          <w:tcPr>
            <w:tcW w:w="8480" w:type="dxa"/>
            <w:vAlign w:val="bottom"/>
          </w:tcPr>
          <w:p>
            <w:pPr>
              <w:spacing w:after="0"/>
              <w:rPr>
                <w:sz w:val="9"/>
                <w:szCs w:val="9"/>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320" w:type="dxa"/>
            <w:vAlign w:val="bottom"/>
            <w:tcBorders>
              <w:top w:val="single" w:sz="8" w:color="auto"/>
            </w:tcBorders>
            <w:gridSpan w:val="2"/>
          </w:tcPr>
          <w:p>
            <w:pPr>
              <w:jc w:val="center"/>
              <w:ind w:left="381"/>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9"/>
                <w:szCs w:val="9"/>
                <w:color w:val="auto"/>
              </w:rPr>
            </w:pPr>
          </w:p>
        </w:tc>
      </w:tr>
      <w:tr>
        <w:trPr>
          <w:trHeight w:val="171"/>
        </w:trPr>
        <w:tc>
          <w:tcPr>
            <w:tcW w:w="84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20" w:type="dxa"/>
            <w:vAlign w:val="bottom"/>
            <w:gridSpan w:val="2"/>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4"/>
                <w:szCs w:val="14"/>
                <w:color w:val="auto"/>
              </w:rPr>
            </w:pPr>
          </w:p>
        </w:tc>
      </w:tr>
      <w:tr>
        <w:trPr>
          <w:trHeight w:val="140"/>
        </w:trPr>
        <w:tc>
          <w:tcPr>
            <w:tcW w:w="84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r>
      <w:tr>
        <w:trPr>
          <w:trHeight w:val="21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60" w:type="dxa"/>
            <w:vAlign w:val="bottom"/>
            <w:shd w:val="clear" w:color="auto" w:fill="CCEEFF"/>
          </w:tcPr>
          <w:p>
            <w:pPr>
              <w:spacing w:after="0"/>
              <w:rPr>
                <w:sz w:val="18"/>
                <w:szCs w:val="18"/>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60" w:type="dxa"/>
            <w:vAlign w:val="bottom"/>
          </w:tcPr>
          <w:p>
            <w:pPr>
              <w:spacing w:after="0"/>
              <w:rPr>
                <w:sz w:val="18"/>
                <w:szCs w:val="18"/>
                <w:color w:val="auto"/>
              </w:rPr>
            </w:pPr>
          </w:p>
        </w:tc>
      </w:tr>
      <w:tr>
        <w:trPr>
          <w:trHeight w:val="21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 current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the Group’s operating lease expenses and short-term lease expenses:</w:t>
      </w:r>
    </w:p>
    <w:p>
      <w:pPr>
        <w:spacing w:after="0" w:line="23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7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33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20" w:type="dxa"/>
            <w:vAlign w:val="bottom"/>
          </w:tcPr>
          <w:p>
            <w:pPr>
              <w:jc w:val="right"/>
              <w:ind w:right="129"/>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Pr>
          <w:p>
            <w:pPr>
              <w:spacing w:after="0"/>
              <w:rPr>
                <w:sz w:val="12"/>
                <w:szCs w:val="12"/>
                <w:color w:val="auto"/>
              </w:rPr>
            </w:pPr>
          </w:p>
        </w:tc>
        <w:tc>
          <w:tcPr>
            <w:tcW w:w="720" w:type="dxa"/>
            <w:vAlign w:val="bottom"/>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60" w:type="dxa"/>
            <w:vAlign w:val="bottom"/>
            <w:shd w:val="clear" w:color="auto" w:fill="CCEEFF"/>
          </w:tcPr>
          <w:p>
            <w:pPr>
              <w:spacing w:after="0"/>
              <w:rPr>
                <w:sz w:val="18"/>
                <w:szCs w:val="18"/>
                <w:color w:val="auto"/>
              </w:rPr>
            </w:pPr>
          </w:p>
        </w:tc>
      </w:tr>
      <w:tr>
        <w:trPr>
          <w:trHeight w:val="2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60" w:type="dxa"/>
            <w:vAlign w:val="bottom"/>
          </w:tcPr>
          <w:p>
            <w:pPr>
              <w:spacing w:after="0"/>
              <w:rPr>
                <w:sz w:val="20"/>
                <w:szCs w:val="20"/>
                <w:color w:val="auto"/>
              </w:rPr>
            </w:pPr>
          </w:p>
        </w:tc>
      </w:tr>
      <w:tr>
        <w:trPr>
          <w:trHeight w:val="341"/>
        </w:trPr>
        <w:tc>
          <w:tcPr>
            <w:tcW w:w="3340" w:type="dxa"/>
            <w:vAlign w:val="bottom"/>
          </w:tcPr>
          <w:p>
            <w:pPr>
              <w:spacing w:after="0"/>
              <w:rPr>
                <w:sz w:val="24"/>
                <w:szCs w:val="24"/>
                <w:color w:val="auto"/>
              </w:rPr>
            </w:pPr>
          </w:p>
        </w:tc>
        <w:tc>
          <w:tcPr>
            <w:tcW w:w="63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F-94</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2" w:right="51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14" w:lineRule="exact"/>
        <w:rPr>
          <w:rFonts w:ascii="Times New Roman" w:cs="Times New Roman" w:eastAsia="Times New Roman" w:hAnsi="Times New Roman"/>
          <w:sz w:val="18"/>
          <w:szCs w:val="18"/>
          <w:b w:val="1"/>
          <w:bCs w:val="1"/>
          <w:color w:val="auto"/>
        </w:rPr>
      </w:pPr>
    </w:p>
    <w:p>
      <w:pPr>
        <w:ind w:left="640" w:right="6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fair value hierarchy for the Group’s assets and liabilities that are measured and recorded at fair value on a recurring basis as of June 30, 2022 and September 30, 2022:</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560" w:type="dxa"/>
            <w:vAlign w:val="bottom"/>
          </w:tcPr>
          <w:p>
            <w:pPr>
              <w:spacing w:after="0"/>
              <w:rPr>
                <w:sz w:val="12"/>
                <w:szCs w:val="12"/>
                <w:color w:val="auto"/>
              </w:rPr>
            </w:pPr>
          </w:p>
        </w:tc>
        <w:tc>
          <w:tcPr>
            <w:tcW w:w="780" w:type="dxa"/>
            <w:vAlign w:val="bottom"/>
            <w:gridSpan w:val="3"/>
          </w:tcPr>
          <w:p>
            <w:pPr>
              <w:jc w:val="center"/>
              <w:ind w:left="3"/>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20" w:type="dxa"/>
            <w:vAlign w:val="bottom"/>
          </w:tcPr>
          <w:p>
            <w:pPr>
              <w:spacing w:after="0"/>
              <w:rPr>
                <w:sz w:val="12"/>
                <w:szCs w:val="12"/>
                <w:color w:val="auto"/>
              </w:rPr>
            </w:pPr>
          </w:p>
        </w:tc>
        <w:tc>
          <w:tcPr>
            <w:tcW w:w="8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6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20" w:type="dxa"/>
            <w:vAlign w:val="bottom"/>
            <w:gridSpan w:val="4"/>
            <w:vMerge w:val="continue"/>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spacing w:after="0"/>
              <w:rPr>
                <w:sz w:val="14"/>
                <w:szCs w:val="14"/>
                <w:color w:val="auto"/>
              </w:rPr>
            </w:pPr>
          </w:p>
        </w:tc>
        <w:tc>
          <w:tcPr>
            <w:tcW w:w="8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at Fair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center"/>
              <w:ind w:left="46"/>
              <w:spacing w:after="0"/>
              <w:rPr>
                <w:sz w:val="20"/>
                <w:szCs w:val="20"/>
                <w:color w:val="auto"/>
              </w:rPr>
            </w:pPr>
            <w:r>
              <w:rPr>
                <w:rFonts w:ascii="Times New Roman" w:cs="Times New Roman" w:eastAsia="Times New Roman" w:hAnsi="Times New Roman"/>
                <w:sz w:val="18"/>
                <w:szCs w:val="18"/>
                <w:color w:val="auto"/>
                <w:w w:val="99"/>
              </w:rPr>
              <w:t>132,632</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8"/>
                <w:szCs w:val="18"/>
                <w:b w:val="1"/>
                <w:bCs w:val="1"/>
                <w:color w:val="auto"/>
                <w:w w:val="99"/>
              </w:rPr>
              <w:t>132,632</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60" w:type="dxa"/>
            <w:vAlign w:val="bottom"/>
            <w:gridSpan w:val="4"/>
          </w:tcPr>
          <w:p>
            <w:pPr>
              <w:jc w:val="center"/>
              <w:ind w:left="120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60" w:type="dxa"/>
            <w:vAlign w:val="bottom"/>
          </w:tcPr>
          <w:p>
            <w:pPr>
              <w:spacing w:after="0"/>
              <w:rPr>
                <w:sz w:val="24"/>
                <w:szCs w:val="24"/>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340" w:type="dxa"/>
            <w:vAlign w:val="bottom"/>
            <w:gridSpan w:val="4"/>
          </w:tcPr>
          <w:p>
            <w:pPr>
              <w:jc w:val="cente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00" w:type="dxa"/>
            <w:vAlign w:val="bottom"/>
            <w:gridSpan w:val="4"/>
          </w:tcPr>
          <w:p>
            <w:pPr>
              <w:jc w:val="center"/>
              <w:ind w:left="489"/>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6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20" w:type="dxa"/>
            <w:vAlign w:val="bottom"/>
            <w:gridSpan w:val="4"/>
            <w:vMerge w:val="continue"/>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spacing w:after="0"/>
              <w:rPr>
                <w:sz w:val="14"/>
                <w:szCs w:val="14"/>
                <w:color w:val="auto"/>
              </w:rPr>
            </w:pPr>
          </w:p>
        </w:tc>
        <w:tc>
          <w:tcPr>
            <w:tcW w:w="8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at Fair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63"/>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6"/>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bottom w:val="single" w:sz="8" w:color="auto"/>
            </w:tcBorders>
            <w:gridSpan w:val="2"/>
          </w:tcPr>
          <w:p>
            <w:pPr>
              <w:jc w:val="center"/>
              <w:ind w:left="223"/>
              <w:spacing w:after="0"/>
              <w:rPr>
                <w:sz w:val="20"/>
                <w:szCs w:val="20"/>
                <w:color w:val="auto"/>
              </w:rPr>
            </w:pPr>
            <w:r>
              <w:rPr>
                <w:rFonts w:ascii="Times New Roman" w:cs="Times New Roman" w:eastAsia="Times New Roman" w:hAnsi="Times New Roman"/>
                <w:sz w:val="18"/>
                <w:szCs w:val="18"/>
                <w:color w:val="auto"/>
                <w:w w:val="98"/>
              </w:rPr>
              <w:t>6,090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b w:val="1"/>
                <w:bCs w:val="1"/>
                <w:color w:val="auto"/>
                <w:w w:val="98"/>
              </w:rPr>
              <w:t>6,090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right="80"/>
        <w:spacing w:after="0" w:line="283" w:lineRule="auto"/>
        <w:rPr>
          <w:sz w:val="20"/>
          <w:szCs w:val="20"/>
          <w:color w:val="auto"/>
        </w:rPr>
      </w:pPr>
      <w:r>
        <w:rPr>
          <w:rFonts w:ascii="Times New Roman" w:cs="Times New Roman" w:eastAsia="Times New Roman" w:hAnsi="Times New Roman"/>
          <w:sz w:val="17"/>
          <w:szCs w:val="17"/>
          <w:color w:val="auto"/>
        </w:rPr>
        <w:t>The short-term investments represent investment in wealth management products issued by banks in the PRC with expected annualized return ranging from 1.2%~4.5% per annum indexed to the performance of underlying assets. The wealth management products invested by the Group can be redeemed at any time after the respective lock up period. The Group designated them as financial assets at fair value through profit or loss.</w:t>
      </w:r>
    </w:p>
    <w:p>
      <w:pPr>
        <w:spacing w:after="0" w:line="53" w:lineRule="exact"/>
        <w:rPr>
          <w:sz w:val="20"/>
          <w:szCs w:val="20"/>
          <w:color w:val="auto"/>
        </w:rPr>
      </w:pPr>
    </w:p>
    <w:p>
      <w:pPr>
        <w:ind w:left="640" w:right="40"/>
        <w:spacing w:after="0" w:line="253" w:lineRule="auto"/>
        <w:rPr>
          <w:sz w:val="20"/>
          <w:szCs w:val="20"/>
          <w:color w:val="auto"/>
        </w:rPr>
      </w:pPr>
      <w:r>
        <w:rPr>
          <w:rFonts w:ascii="Times New Roman" w:cs="Times New Roman" w:eastAsia="Times New Roman" w:hAnsi="Times New Roman"/>
          <w:sz w:val="18"/>
          <w:szCs w:val="18"/>
          <w:color w:val="auto"/>
        </w:rPr>
        <w:t>To estimate the fair value of wealth management products, the Group values its wealth management products using alternative pricing sources and models utilizing market observables inputs at the end of each period using the discounted cash flow method. The Company classifies the valuation techniques that use these inputs as Level 2 of fair value measurement. For the three months ended September 30, 2021 and 2022, the Company recorded gains or losses resulting from changes in the fair values of short-term investments in the line item “others, net” in the unaudited interim condensed consolidated statements of operations and comprehensive loss.</w:t>
      </w:r>
    </w:p>
    <w:p>
      <w:pPr>
        <w:spacing w:after="0" w:line="330" w:lineRule="exact"/>
        <w:rPr>
          <w:sz w:val="20"/>
          <w:szCs w:val="20"/>
          <w:color w:val="auto"/>
        </w:rPr>
      </w:pPr>
    </w:p>
    <w:p>
      <w:pPr>
        <w:ind w:left="640" w:right="9280" w:hanging="441"/>
        <w:spacing w:after="0" w:line="393" w:lineRule="auto"/>
        <w:tabs>
          <w:tab w:leader="none" w:pos="632"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i w:val="1"/>
          <w:iCs w:val="1"/>
          <w:color w:val="auto"/>
        </w:rPr>
        <w:t>Cayman Islands</w:t>
      </w:r>
    </w:p>
    <w:p>
      <w:pPr>
        <w:ind w:left="640" w:right="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 Additionally, upon payments of dividends to the shareholders, no Cayman Islands withholding tax will be imposed.</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Subsidiaries in the BVI are exempted from income tax on its foreign-derived income in the BVI. There are no withholding taxes in the BVI.</w:t>
      </w:r>
    </w:p>
    <w:p>
      <w:pPr>
        <w:spacing w:after="0" w:line="1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060"/>
          </w:cols>
          <w:pgMar w:left="320" w:top="452" w:right="51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4"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Hong Kong profits tax rate is 16.5% up to April 1, 2018. When the two-tiered profits tax regime took effect on April 1, 2018, the applicable Hong Kong profits tax rate is 8.25% for assessable profits on the first HK$2 million and 16.5% for any assessable profits in excess of HK$2 million. During the three months ended September 30, 2021 and 2022, Hong Kong profits tax was not provided as there were no taxable profits deriving from Hong Kong.</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114"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(“EIT Law”), the standard enterprise income tax rate is 25%. Entities qualifying as High and New Technology Enterprises (“HNTE”) qualify for a preferential tax rate of 15% subject to a requirement that they re-apply for HNTE status every three years. Beijing Feierlai qualified as a HNTE in the calendar year 2020 and is eligible for a preferential enterprise income tax rate of 15% as a “high and new technology enterprise” under the EIT Law in the calendar year 2020.</w:t>
      </w:r>
    </w:p>
    <w:p>
      <w:pPr>
        <w:spacing w:after="0" w:line="74"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the Company be treated as a resident enterprise for PRC tax purposes, the Company will be subject to PRC income tax on worldwide income at a uniform tax rate of 25%.</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Withholding tax on undistributed earnings</w:t>
      </w:r>
    </w:p>
    <w:p>
      <w:pPr>
        <w:spacing w:after="0" w:line="114" w:lineRule="exact"/>
        <w:rPr>
          <w:sz w:val="20"/>
          <w:szCs w:val="20"/>
          <w:color w:val="auto"/>
        </w:rPr>
      </w:pPr>
    </w:p>
    <w:p>
      <w:pPr>
        <w:ind w:left="640" w:right="40"/>
        <w:spacing w:after="0" w:line="249"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foreign investment enterprise (“FIE”) to its immediate holding company outside the PRC, if such immediate holding company is considered as a non-resident enterprise without any establishment or place within the PRC or if the received dividends have no connection with the establishment or place of such immediate holding company within the PRC, unless such immediate holding company’s jurisdiction of incorporation has a tax treaty with the PRC that provides for a different withholding arrangement. The Cayman Islands, where the Company is incorporated, does not have such tax treaty with the PRC. According to the arrangement between Mainland China and Hong Kong Special Administrative Region on the Avoidance of Double Taxation and Prevention of Fiscal Evasion in August 2006, dividends paid by an FIE in the PRC to its immediate holding company in Hong Kong will be subject to withholding tax at a rate of no more than 5%. As of June 30, 2022 and September 30, 2022, the Group did not record any withholding tax on undistributed earnings as the PRC entities were still in accumulated deficit position. To the extent that subsidiaries and the consolidated VIE (including its subsidiaries) of the Group have undistributed earnings, the Group will accrue appropriate expected withholding tax associated with repatriation of such undistributed earnings.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040"/>
          </w:cols>
          <w:pgMar w:left="320" w:top="452" w:right="5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component of income tax expenses of the Group for the three months ended September 30, 2021 and 2022:</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22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(10,375)</w:t>
            </w:r>
          </w:p>
        </w:tc>
      </w:tr>
      <w:tr>
        <w:trPr>
          <w:trHeight w:val="219"/>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542</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542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(10,375)</w:t>
            </w: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reconciliation between the statutory EIT rate and the effective tax rates:</w:t>
      </w:r>
    </w:p>
    <w:p>
      <w:pPr>
        <w:spacing w:after="0" w:line="23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0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 in PRC</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25.0%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Effect due to different tax rates applicable to overseas entities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(22.6%)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right="80"/>
        <w:spacing w:after="0" w:line="261" w:lineRule="auto"/>
        <w:rPr>
          <w:sz w:val="20"/>
          <w:szCs w:val="20"/>
          <w:color w:val="auto"/>
        </w:rPr>
      </w:pPr>
      <w:r>
        <w:rPr>
          <w:rFonts w:ascii="Times New Roman" w:cs="Times New Roman" w:eastAsia="Times New Roman" w:hAnsi="Times New Roman"/>
          <w:sz w:val="18"/>
          <w:szCs w:val="18"/>
          <w:color w:val="auto"/>
        </w:rPr>
        <w:t>The major jurisdiction in which the Group is subject to potential examination is the PRC. In general, the PRC tax authorities have up to five years and in certain cases up to ten years to conduct examinations of the tax filings of the Group. All these related tax years remain subject to examination by the PRC tax authorities potentially.</w:t>
      </w:r>
    </w:p>
    <w:p>
      <w:pPr>
        <w:spacing w:after="0" w:line="320" w:lineRule="exact"/>
        <w:rPr>
          <w:sz w:val="20"/>
          <w:szCs w:val="20"/>
          <w:color w:val="auto"/>
        </w:rPr>
      </w:pPr>
    </w:p>
    <w:p>
      <w:pPr>
        <w:ind w:left="620" w:hanging="421"/>
        <w:spacing w:after="0"/>
        <w:tabs>
          <w:tab w:leader="none" w:pos="62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Others, net</w:t>
      </w:r>
    </w:p>
    <w:p>
      <w:pPr>
        <w:spacing w:after="0" w:line="24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6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Borders>
              <w:top w:val="single" w:sz="8" w:color="auto"/>
            </w:tcBorders>
          </w:tcPr>
          <w:p>
            <w:pPr>
              <w:jc w:val="right"/>
              <w:ind w:right="163"/>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400" w:type="dxa"/>
            <w:vAlign w:val="bottom"/>
            <w:tcBorders>
              <w:top w:val="single" w:sz="8" w:color="auto"/>
            </w:tcBorders>
            <w:gridSpan w:val="2"/>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4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Borders>
              <w:top w:val="single" w:sz="8" w:color="auto"/>
            </w:tcBorders>
          </w:tcPr>
          <w:p>
            <w:pPr>
              <w:jc w:val="right"/>
              <w:ind w:right="143"/>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spacing w:after="0"/>
              <w:rPr>
                <w:sz w:val="12"/>
                <w:szCs w:val="12"/>
                <w:color w:val="auto"/>
              </w:rPr>
            </w:pPr>
          </w:p>
        </w:tc>
        <w:tc>
          <w:tcPr>
            <w:tcW w:w="760" w:type="dxa"/>
            <w:vAlign w:val="bottom"/>
            <w:tcBorders>
              <w:top w:val="single" w:sz="8" w:color="auto"/>
            </w:tcBorders>
          </w:tcPr>
          <w:p>
            <w:pPr>
              <w:jc w:val="right"/>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shd w:val="clear" w:color="auto" w:fill="CCEEFF"/>
          </w:tcPr>
          <w:p>
            <w:pPr>
              <w:spacing w:after="0"/>
              <w:rPr>
                <w:sz w:val="18"/>
                <w:szCs w:val="18"/>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60" w:type="dxa"/>
            <w:vAlign w:val="bottom"/>
          </w:tcPr>
          <w:p>
            <w:pPr>
              <w:spacing w:after="0"/>
              <w:rPr>
                <w:sz w:val="18"/>
                <w:szCs w:val="18"/>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60" w:type="dxa"/>
            <w:vAlign w:val="bottom"/>
            <w:shd w:val="clear" w:color="auto" w:fill="CCEEFF"/>
          </w:tcPr>
          <w:p>
            <w:pPr>
              <w:spacing w:after="0"/>
              <w:rPr>
                <w:sz w:val="18"/>
                <w:szCs w:val="18"/>
                <w:color w:val="auto"/>
              </w:rPr>
            </w:pPr>
          </w:p>
        </w:tc>
      </w:tr>
      <w:tr>
        <w:trPr>
          <w:trHeight w:val="21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4000" w:type="dxa"/>
            <w:vAlign w:val="bottom"/>
          </w:tcPr>
          <w:p>
            <w:pPr>
              <w:spacing w:after="0"/>
              <w:rPr>
                <w:sz w:val="24"/>
                <w:szCs w:val="24"/>
                <w:color w:val="auto"/>
              </w:rPr>
            </w:pPr>
          </w:p>
        </w:tc>
        <w:tc>
          <w:tcPr>
            <w:tcW w:w="4960" w:type="dxa"/>
            <w:vAlign w:val="bottom"/>
            <w:gridSpan w:val="2"/>
          </w:tcPr>
          <w:p>
            <w:pPr>
              <w:jc w:val="right"/>
              <w:ind w:right="3723"/>
              <w:spacing w:after="0"/>
              <w:rPr>
                <w:sz w:val="20"/>
                <w:szCs w:val="20"/>
                <w:color w:val="auto"/>
              </w:rPr>
            </w:pPr>
            <w:r>
              <w:rPr>
                <w:rFonts w:ascii="Times New Roman" w:cs="Times New Roman" w:eastAsia="Times New Roman" w:hAnsi="Times New Roman"/>
                <w:sz w:val="18"/>
                <w:szCs w:val="18"/>
                <w:color w:val="auto"/>
              </w:rPr>
              <w:t>F-97</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1" w:right="5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4" w:lineRule="exact"/>
        <w:rPr>
          <w:sz w:val="20"/>
          <w:szCs w:val="20"/>
          <w:color w:val="auto"/>
        </w:rPr>
      </w:pPr>
    </w:p>
    <w:p>
      <w:pPr>
        <w:ind w:left="620" w:hanging="421"/>
        <w:spacing w:after="0"/>
        <w:tabs>
          <w:tab w:leader="none" w:pos="62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expenses</w:t>
      </w:r>
    </w:p>
    <w:p>
      <w:pPr>
        <w:spacing w:after="0" w:line="114" w:lineRule="exact"/>
        <w:rPr>
          <w:rFonts w:ascii="Times New Roman" w:cs="Times New Roman" w:eastAsia="Times New Roman" w:hAnsi="Times New Roman"/>
          <w:sz w:val="18"/>
          <w:szCs w:val="18"/>
          <w:b w:val="1"/>
          <w:bCs w:val="1"/>
          <w:color w:val="auto"/>
        </w:rPr>
      </w:pPr>
    </w:p>
    <w:p>
      <w:pPr>
        <w:jc w:val="both"/>
        <w:ind w:left="640" w:righ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 based compensation expenses for periods prior to the Reorganization were related to the share options or restricted shares granted by Predecessors to the employees, management and the founders. For the three months ended September 30, 2021 and 2022, total share based compensation expenses pushed down to the Company from the Predecessors were RMB29,133 and nil respectively.</w:t>
      </w:r>
    </w:p>
    <w:p>
      <w:pPr>
        <w:spacing w:after="0" w:line="19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76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8400" w:type="dxa"/>
            <w:vAlign w:val="bottom"/>
          </w:tcPr>
          <w:p>
            <w:pPr>
              <w:spacing w:after="0"/>
              <w:rPr>
                <w:sz w:val="12"/>
                <w:szCs w:val="12"/>
                <w:color w:val="auto"/>
              </w:rPr>
            </w:pPr>
          </w:p>
        </w:tc>
        <w:tc>
          <w:tcPr>
            <w:tcW w:w="740" w:type="dxa"/>
            <w:vAlign w:val="bottom"/>
            <w:tcBorders>
              <w:top w:val="single" w:sz="8" w:color="auto"/>
            </w:tcBorders>
          </w:tcPr>
          <w:p>
            <w:pPr>
              <w:jc w:val="right"/>
              <w:ind w:right="15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top w:val="single" w:sz="8" w:color="auto"/>
            </w:tcBorders>
            <w:gridSpan w:val="2"/>
          </w:tcPr>
          <w:p>
            <w:pPr>
              <w:jc w:val="right"/>
              <w:ind w:right="15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0"/>
        </w:trPr>
        <w:tc>
          <w:tcPr>
            <w:tcW w:w="840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r>
      <w:tr>
        <w:trPr>
          <w:trHeight w:val="21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Share options issued by Predecessors to employees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(b) Share options issued by Company to employees</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60" w:type="dxa"/>
            <w:vAlign w:val="bottom"/>
          </w:tcPr>
          <w:p>
            <w:pPr>
              <w:spacing w:after="0"/>
              <w:rPr>
                <w:sz w:val="18"/>
                <w:szCs w:val="18"/>
                <w:color w:val="auto"/>
              </w:rPr>
            </w:pPr>
          </w:p>
        </w:tc>
      </w:tr>
      <w:tr>
        <w:trPr>
          <w:trHeight w:val="21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Restriction of ordinary shares held by the Founder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r>
      <w:tr>
        <w:trPr>
          <w:trHeight w:val="219"/>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29,133</w:t>
            </w: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46,370</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ind w:left="620" w:hanging="421"/>
        <w:spacing w:after="0"/>
        <w:tabs>
          <w:tab w:leader="none" w:pos="620" w:val="left"/>
        </w:tabs>
        <w:numPr>
          <w:ilvl w:val="0"/>
          <w:numId w:val="2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 issued by the Predecessors</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1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April 23, 2018, WN adopted the 2018 WN Share Incentive Plan (the “2018 WN Plan”), whereby the maximum aggregate number of ordinary shares that can be issued under the 2018 WN Plan was 22,317,118 shares.</w:t>
      </w:r>
    </w:p>
    <w:p>
      <w:pPr>
        <w:spacing w:after="0" w:line="163" w:lineRule="exact"/>
        <w:rPr>
          <w:rFonts w:ascii="Times New Roman" w:cs="Times New Roman" w:eastAsia="Times New Roman" w:hAnsi="Times New Roman"/>
          <w:sz w:val="18"/>
          <w:szCs w:val="18"/>
          <w:b w:val="1"/>
          <w:bCs w:val="1"/>
          <w:i w:val="1"/>
          <w:iCs w:val="1"/>
          <w:color w:val="auto"/>
        </w:rPr>
      </w:pPr>
    </w:p>
    <w:p>
      <w:pPr>
        <w:ind w:left="64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From July 1, 2018 to April 1, 2021, WN granted several batches of options to employees pursuant to the 2018 WN Plan. These options were to be vested in four equal installments, with 25% of the total options becoming vested on each of the first, second, third and fourth anniversary of the vesting commencement date with certain performance conditions including completion of an IPO (the “IPO condition”).</w:t>
      </w:r>
    </w:p>
    <w:p>
      <w:pPr>
        <w:spacing w:after="0" w:line="69" w:lineRule="exact"/>
        <w:rPr>
          <w:rFonts w:ascii="Times New Roman" w:cs="Times New Roman" w:eastAsia="Times New Roman" w:hAnsi="Times New Roman"/>
          <w:sz w:val="18"/>
          <w:szCs w:val="18"/>
          <w:b w:val="1"/>
          <w:bCs w:val="1"/>
          <w:i w:val="1"/>
          <w:iCs w:val="1"/>
          <w:color w:val="auto"/>
        </w:rPr>
      </w:pPr>
    </w:p>
    <w:p>
      <w:pPr>
        <w:ind w:left="640" w:right="40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2021, EW adopted the 2021 EW Global Share Plan (the “2021 EW Plan”), whereby the maximum aggregate number of ordinary shares that can be issued under the 2021 EW Plan was 21,717,118 shares.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2021, in connection with the Step 1 Reorganization, the outstanding share options of WN were replaced by the options issued by EW under the 2021 EW Plan, with the IPO condition removed, which was accounted for as a modification. In accordance with ASC 718, such modification was a Type III modification because the original condition is not expected to be satisfied as of the modification date. The incremental fair value of the 14,358,812 shares options is equal to the fair value of the modified awards amounting to RMB253,673. The Group recognized the incremental value for vested awards amounting to RMB35,617 on May 31, 2021 and the incremental value for unvested awards over the remaining vesting period.</w:t>
      </w:r>
    </w:p>
    <w:p>
      <w:pPr>
        <w:spacing w:after="0" w:line="78" w:lineRule="exact"/>
        <w:rPr>
          <w:rFonts w:ascii="Times New Roman" w:cs="Times New Roman" w:eastAsia="Times New Roman" w:hAnsi="Times New Roman"/>
          <w:sz w:val="18"/>
          <w:szCs w:val="18"/>
          <w:b w:val="1"/>
          <w:bCs w:val="1"/>
          <w:i w:val="1"/>
          <w:iCs w:val="1"/>
          <w:color w:val="auto"/>
        </w:rPr>
      </w:pPr>
    </w:p>
    <w:p>
      <w:pPr>
        <w:ind w:left="64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From July 1, 2021 to May 31, 2022, EW granted several batches of options to employees pursuant to the 2021 EW Plan. These options were to be vested in four equal installments, with 25% of the total options becoming vested on each of the first, second, third and fourth anniversary of the vesting commencement date with certain performance conditions.</w:t>
      </w:r>
    </w:p>
    <w:p>
      <w:pPr>
        <w:spacing w:after="0" w:line="317" w:lineRule="exact"/>
        <w:rPr>
          <w:rFonts w:ascii="Times New Roman" w:cs="Times New Roman" w:eastAsia="Times New Roman" w:hAnsi="Times New Roman"/>
          <w:sz w:val="18"/>
          <w:szCs w:val="18"/>
          <w:b w:val="1"/>
          <w:bCs w:val="1"/>
          <w:i w:val="1"/>
          <w:iCs w:val="1"/>
          <w:color w:val="auto"/>
        </w:rPr>
      </w:pPr>
    </w:p>
    <w:p>
      <w:pPr>
        <w:ind w:left="620" w:hanging="421"/>
        <w:spacing w:after="0"/>
        <w:tabs>
          <w:tab w:leader="none" w:pos="620" w:val="left"/>
        </w:tabs>
        <w:numPr>
          <w:ilvl w:val="0"/>
          <w:numId w:val="2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 issued by the Company</w:t>
      </w:r>
    </w:p>
    <w:p>
      <w:pPr>
        <w:spacing w:after="0" w:line="116" w:lineRule="exact"/>
        <w:rPr>
          <w:rFonts w:ascii="Times New Roman" w:cs="Times New Roman" w:eastAsia="Times New Roman" w:hAnsi="Times New Roman"/>
          <w:sz w:val="18"/>
          <w:szCs w:val="18"/>
          <w:b w:val="1"/>
          <w:bCs w:val="1"/>
          <w:i w:val="1"/>
          <w:iCs w:val="1"/>
          <w:color w:val="auto"/>
        </w:rPr>
      </w:pPr>
    </w:p>
    <w:p>
      <w:pPr>
        <w:ind w:left="640" w:right="36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2022, the Company adopted the 2021 Global Share Plan (the “2021 Plan”), whereby the maximum aggregate number of ordinary shares that can be issued under the 2021 Plan was 21,717,118 shares.</w:t>
      </w:r>
    </w:p>
    <w:p>
      <w:pPr>
        <w:spacing w:after="0" w:line="57" w:lineRule="exact"/>
        <w:rPr>
          <w:rFonts w:ascii="Times New Roman" w:cs="Times New Roman" w:eastAsia="Times New Roman" w:hAnsi="Times New Roman"/>
          <w:sz w:val="18"/>
          <w:szCs w:val="18"/>
          <w:b w:val="1"/>
          <w:bCs w:val="1"/>
          <w:i w:val="1"/>
          <w:iCs w:val="1"/>
          <w:color w:val="auto"/>
        </w:rPr>
      </w:pPr>
    </w:p>
    <w:p>
      <w:pPr>
        <w:ind w:left="640" w:right="16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May 31, 2022, in connection with the Step 2 Reorganization, the outstanding share options of EW were replaced by the options issued by the Company under the 2021 Plan. As the options issued by EW did not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060"/>
          </w:cols>
          <w:pgMar w:left="320" w:top="452" w:right="5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40"/>
        <w:spacing w:after="0" w:line="267" w:lineRule="auto"/>
        <w:rPr>
          <w:sz w:val="20"/>
          <w:szCs w:val="20"/>
          <w:color w:val="auto"/>
        </w:rPr>
      </w:pPr>
      <w:r>
        <w:rPr>
          <w:rFonts w:ascii="Times New Roman" w:cs="Times New Roman" w:eastAsia="Times New Roman" w:hAnsi="Times New Roman"/>
          <w:sz w:val="17"/>
          <w:szCs w:val="17"/>
          <w:color w:val="auto"/>
        </w:rPr>
        <w:t>contain a mandatory equitable adjustment provision, the value of the EW awards immediately before the modification declined significantly, and the modification resulted in incremental fair value because the fair value immediately after modification reflected the new equitable adjustments to the award’s terms, which increased its value relative to the EW award that were not adjusted. Thus the modification did not meet the scope exception of modification accounting under ASC 718, and since the options either contained service condition only, or contained performance condition that is considered probable to be satisfied, such modification was accounted for as a Type I probable-to-probable modification, and the compensation cost was recognized based on the original grant-date fair value of the EW award plus the incremental fair value resulting from the modification. The Group recognized the incremental value for vested awards amounting to RMB117,520 on May 31, 2022, which was reflected in the financial statements for the quarter ended June 30, 2022, and the incremental value for unvested awards over the remaining vesting period.</w:t>
      </w:r>
    </w:p>
    <w:p>
      <w:pPr>
        <w:spacing w:after="0" w:line="68" w:lineRule="exact"/>
        <w:rPr>
          <w:sz w:val="20"/>
          <w:szCs w:val="20"/>
          <w:color w:val="auto"/>
        </w:rPr>
      </w:pPr>
    </w:p>
    <w:p>
      <w:pPr>
        <w:ind w:left="640" w:right="140"/>
        <w:spacing w:after="0" w:line="261" w:lineRule="auto"/>
        <w:rPr>
          <w:sz w:val="20"/>
          <w:szCs w:val="20"/>
          <w:color w:val="auto"/>
        </w:rPr>
      </w:pPr>
      <w:r>
        <w:rPr>
          <w:rFonts w:ascii="Times New Roman" w:cs="Times New Roman" w:eastAsia="Times New Roman" w:hAnsi="Times New Roman"/>
          <w:sz w:val="18"/>
          <w:szCs w:val="18"/>
          <w:color w:val="auto"/>
        </w:rPr>
        <w:t>On August 31, 2022, the Company granted 70,000 share options to employees pursuant to the 2021 Plan. These options were to be vested in four equal installments, with 25% of the total options becoming vested on each of the first, second, third and fourth anniversary of the vesting commencement date with certain performance conditions.</w:t>
      </w:r>
    </w:p>
    <w:p>
      <w:pPr>
        <w:spacing w:after="0" w:line="69" w:lineRule="exact"/>
        <w:rPr>
          <w:sz w:val="20"/>
          <w:szCs w:val="20"/>
          <w:color w:val="auto"/>
        </w:rPr>
      </w:pPr>
    </w:p>
    <w:p>
      <w:pPr>
        <w:ind w:left="640" w:right="560"/>
        <w:spacing w:after="0" w:line="275" w:lineRule="auto"/>
        <w:rPr>
          <w:sz w:val="20"/>
          <w:szCs w:val="20"/>
          <w:color w:val="auto"/>
        </w:rPr>
      </w:pPr>
      <w:r>
        <w:rPr>
          <w:rFonts w:ascii="Times New Roman" w:cs="Times New Roman" w:eastAsia="Times New Roman" w:hAnsi="Times New Roman"/>
          <w:sz w:val="18"/>
          <w:szCs w:val="18"/>
          <w:color w:val="auto"/>
        </w:rPr>
        <w:t>A summary of activities of share options of the Predecessors and the Company for the three months ended September 30, 2021 and 2022 is presented below:</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40" w:type="dxa"/>
            <w:vAlign w:val="bottom"/>
          </w:tcPr>
          <w:p>
            <w:pPr>
              <w:spacing w:after="0"/>
              <w:rPr>
                <w:sz w:val="12"/>
                <w:szCs w:val="12"/>
                <w:color w:val="auto"/>
              </w:rPr>
            </w:pPr>
          </w:p>
        </w:tc>
        <w:tc>
          <w:tcPr>
            <w:tcW w:w="8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30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Value (RMB)</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July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14,318,812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0.3229</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0.8000</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0.4163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14,951,812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0.3548</w:t>
            </w: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3,975,969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0.0768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July 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15,710,312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0.3861</w:t>
            </w:r>
          </w:p>
        </w:tc>
        <w:tc>
          <w:tcPr>
            <w:tcW w:w="4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0.8000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(355,250)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0.6564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15,425,062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7,653,484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0.2205</w:t>
            </w: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40" w:right="600"/>
        <w:spacing w:after="0" w:line="275"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for the three months ended September 30, 2021 and 2022 were US$2.35 and US$3.10 per share, respectively.</w:t>
      </w:r>
    </w:p>
    <w:p>
      <w:pPr>
        <w:spacing w:after="0" w:line="58" w:lineRule="exact"/>
        <w:rPr>
          <w:sz w:val="20"/>
          <w:szCs w:val="20"/>
          <w:color w:val="auto"/>
        </w:rPr>
      </w:pPr>
    </w:p>
    <w:p>
      <w:pPr>
        <w:ind w:left="640" w:right="18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2021 and 2022, share-based compensation expenses recognized associated with share options granted by the Predecessors to employees of the Listing Businesses and allocated to the Company were RMB28,960 and nil. For the three months ended September 30, 2022, share-based compensation expenses recognized associated with share options granted to employees by the Company were RMB46,321.</w:t>
      </w:r>
    </w:p>
    <w:p>
      <w:pPr>
        <w:spacing w:after="0" w:line="74" w:lineRule="exact"/>
        <w:rPr>
          <w:sz w:val="20"/>
          <w:szCs w:val="20"/>
          <w:color w:val="auto"/>
        </w:rPr>
      </w:pPr>
    </w:p>
    <w:p>
      <w:pPr>
        <w:ind w:left="640" w:right="260"/>
        <w:spacing w:after="0" w:line="275" w:lineRule="auto"/>
        <w:rPr>
          <w:sz w:val="20"/>
          <w:szCs w:val="20"/>
          <w:color w:val="auto"/>
        </w:rPr>
      </w:pPr>
      <w:r>
        <w:rPr>
          <w:rFonts w:ascii="Times New Roman" w:cs="Times New Roman" w:eastAsia="Times New Roman" w:hAnsi="Times New Roman"/>
          <w:sz w:val="18"/>
          <w:szCs w:val="18"/>
          <w:color w:val="auto"/>
        </w:rPr>
        <w:t>On May 31, 2022, the Company granted 510,500 share options to employees of the Group’s related parties controlled by the same shareholders with the Company under the 2021 Plan, to replace their outstanding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060"/>
          </w:cols>
          <w:pgMar w:left="320" w:top="452" w:right="5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color w:val="auto"/>
        </w:rPr>
        <w:t>EW share options. As of June 30, 2022, 510,500 share options of the Company were held by the employees of the Group’s related parties with the weighted average exercise price of US$0.66 per option and weighted average remaining contractual years of 8.71 years, out of which 121,750 options were vested and exercisable with the weighted average exercise price of US$0.56 per option and weighted average remaining contractual years of 8.45 years. The aggregate intrinsic value of the outstanding options and exercisable options as of June 30, 2022 are RMB10,306 and RMB2,539 respectively. The share awards were measured based on the fair value as of May 31, 2022. The share options granted to employees of the Group’s related parties were accounted for as deemed dividend from the Company to its shareholders, as these employees of the related parties do not provide services to the Company. No share options were granted to employees of related parties during the three months ended September 30, 2021 and 2022.</w:t>
      </w:r>
    </w:p>
    <w:p>
      <w:pPr>
        <w:spacing w:after="0" w:line="83"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As of June 30, 2022 and September 30, 2022, there were RMB227,395 and RMB195,076 of unrecognized share-based compensation expenses related to the share options granted. The expenses are expected to be recognized over a weighted-average period of 2.39 years and 2.10 years and may be adjusted for future change in forfeitures.</w:t>
      </w:r>
    </w:p>
    <w:p>
      <w:pPr>
        <w:spacing w:after="0" w:line="69" w:lineRule="exact"/>
        <w:rPr>
          <w:sz w:val="20"/>
          <w:szCs w:val="20"/>
          <w:color w:val="auto"/>
        </w:rPr>
      </w:pPr>
    </w:p>
    <w:p>
      <w:pPr>
        <w:ind w:left="640" w:right="540"/>
        <w:spacing w:after="0" w:line="275" w:lineRule="auto"/>
        <w:rPr>
          <w:sz w:val="20"/>
          <w:szCs w:val="20"/>
          <w:color w:val="auto"/>
        </w:rPr>
      </w:pPr>
      <w:r>
        <w:rPr>
          <w:rFonts w:ascii="Times New Roman" w:cs="Times New Roman" w:eastAsia="Times New Roman" w:hAnsi="Times New Roman"/>
          <w:sz w:val="18"/>
          <w:szCs w:val="18"/>
          <w:color w:val="auto"/>
        </w:rPr>
        <w:t>The estimated fair value of each option grant is estimated on the date of grant using the Binominal option-pricing model with the following assumptions:</w:t>
      </w:r>
    </w:p>
    <w:p>
      <w:pPr>
        <w:spacing w:after="0" w:line="184"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64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44.04%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 grants (US$)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40" w:right="20"/>
        <w:spacing w:after="0" w:line="253" w:lineRule="auto"/>
        <w:rPr>
          <w:sz w:val="20"/>
          <w:szCs w:val="20"/>
          <w:color w:val="auto"/>
        </w:rPr>
      </w:pPr>
      <w:r>
        <w:rPr>
          <w:rFonts w:ascii="Times New Roman" w:cs="Times New Roman" w:eastAsia="Times New Roman" w:hAnsi="Times New Roman"/>
          <w:sz w:val="18"/>
          <w:szCs w:val="18"/>
          <w:color w:val="auto"/>
        </w:rPr>
        <w:t>The use of a valuation model requires the Company to make certain assumptions of Predecessors with respect to selected model inputs. The expected volatility is calculated based on the annualized standard deviation of the daily return embedded in historical share prices of comparable companies. The risk-free interest rate is estimated based on the yield to maturity of US treasury bonds based on the expected term of the incentive shares. Predecessors has not declared or paid any cash dividends on its capital stock and does not anticipate any dividend payments on its ordinary shares in the foreseeable future.</w:t>
      </w:r>
    </w:p>
    <w:p>
      <w:pPr>
        <w:spacing w:after="0" w:line="328" w:lineRule="exact"/>
        <w:rPr>
          <w:sz w:val="20"/>
          <w:szCs w:val="20"/>
          <w:color w:val="auto"/>
        </w:rPr>
      </w:pPr>
    </w:p>
    <w:p>
      <w:pPr>
        <w:ind w:left="620" w:hanging="421"/>
        <w:spacing w:after="0"/>
        <w:tabs>
          <w:tab w:leader="none" w:pos="620" w:val="left"/>
        </w:tabs>
        <w:numPr>
          <w:ilvl w:val="0"/>
          <w:numId w:val="2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Restriction of ordinary shares held by the Founder</w:t>
      </w:r>
    </w:p>
    <w:p>
      <w:pPr>
        <w:spacing w:after="0" w:line="116" w:lineRule="exact"/>
        <w:rPr>
          <w:rFonts w:ascii="Times New Roman" w:cs="Times New Roman" w:eastAsia="Times New Roman" w:hAnsi="Times New Roman"/>
          <w:sz w:val="18"/>
          <w:szCs w:val="18"/>
          <w:b w:val="1"/>
          <w:bCs w:val="1"/>
          <w:i w:val="1"/>
          <w:iCs w:val="1"/>
          <w:color w:val="auto"/>
        </w:rPr>
      </w:pPr>
    </w:p>
    <w:p>
      <w:pPr>
        <w:ind w:left="6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April 25, 2017, in connection with Series A preferred shares purchase agreement of Witty network, Witty Time limited (“Founder Co.”) and its three shareholders, the Founder of the Group and two co-founders, entered into a restricted share agreement with Witty network, agreed to place all of their 63,000,200 ordinary shares into escrow to be released back to them only if specified service criteria are met (the “Restricted Shares”). 25% of the Restricted Shares shall be vested after the first anniversary of April 25, 2017, and the remaining 75% of the Restricted Shares shall be vested annually in equal installments over the next three years.</w:t>
      </w:r>
    </w:p>
    <w:p>
      <w:pPr>
        <w:spacing w:after="0" w:line="79" w:lineRule="exact"/>
        <w:rPr>
          <w:rFonts w:ascii="Times New Roman" w:cs="Times New Roman" w:eastAsia="Times New Roman" w:hAnsi="Times New Roman"/>
          <w:sz w:val="18"/>
          <w:szCs w:val="18"/>
          <w:b w:val="1"/>
          <w:bCs w:val="1"/>
          <w:i w:val="1"/>
          <w:iCs w:val="1"/>
          <w:color w:val="auto"/>
        </w:rPr>
      </w:pPr>
    </w:p>
    <w:p>
      <w:pPr>
        <w:ind w:left="640" w:right="620"/>
        <w:spacing w:after="0" w:line="30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Before April 25, 2018, two co-founders no longer served Witty network and therefore the initial grant of shares has been forfeited. All the 20,353,910 Restricted Shares granted to the two co-founders were repurchased by Witty network, at the price of US$0.0001 per share.</w:t>
      </w:r>
    </w:p>
    <w:p>
      <w:pPr>
        <w:spacing w:after="0" w:line="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040"/>
          </w:cols>
          <w:pgMar w:left="320" w:top="452" w:right="5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60"/>
        <w:spacing w:after="0" w:line="256" w:lineRule="auto"/>
        <w:rPr>
          <w:sz w:val="20"/>
          <w:szCs w:val="20"/>
          <w:color w:val="auto"/>
        </w:rPr>
      </w:pPr>
      <w:r>
        <w:rPr>
          <w:rFonts w:ascii="Times New Roman" w:cs="Times New Roman" w:eastAsia="Times New Roman" w:hAnsi="Times New Roman"/>
          <w:sz w:val="18"/>
          <w:szCs w:val="18"/>
          <w:color w:val="auto"/>
        </w:rPr>
        <w:t>On April 25, 2018, Witty network granted 13,036,792 Ordinary Shares to Founder Co. which is owned by the Founder, for which 25% became vested immediately, and the remaining shall vest every year thereafter in three equal installments. As such, 55,683,082 Restricted Shares were granted to the Founder, of which 25% were vested on April 25, 2018, and the remaining 75%shall vest every year thereafter in three equal installments.</w:t>
      </w:r>
    </w:p>
    <w:p>
      <w:pPr>
        <w:spacing w:after="0" w:line="74" w:lineRule="exact"/>
        <w:rPr>
          <w:sz w:val="20"/>
          <w:szCs w:val="20"/>
          <w:color w:val="auto"/>
        </w:rPr>
      </w:pPr>
    </w:p>
    <w:p>
      <w:pPr>
        <w:ind w:left="640" w:right="100"/>
        <w:spacing w:after="0" w:line="256" w:lineRule="auto"/>
        <w:rPr>
          <w:sz w:val="20"/>
          <w:szCs w:val="20"/>
          <w:color w:val="auto"/>
        </w:rPr>
      </w:pPr>
      <w:r>
        <w:rPr>
          <w:rFonts w:ascii="Times New Roman" w:cs="Times New Roman" w:eastAsia="Times New Roman" w:hAnsi="Times New Roman"/>
          <w:sz w:val="18"/>
          <w:szCs w:val="18"/>
          <w:color w:val="auto"/>
        </w:rPr>
        <w:t>On August 13, 2020, Witty network repurchased 1,640,444 Restricted Shares which have been vested, at the price of US$1.18 per share. The fair value of ordinary shares was US$0.49 per share. The difference between the repurchase price and fair value of the ordinary shares at the time of the repurchase was recorded as compensation expenses. The remaining shares were re-designated as Class B ordinary shares subject to the original restriction terms.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September 1, 2020, 600,000 vested share options held by individual managers were purchased by the Founder with US$0.85 per share option.</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Witty network did not receive any proceeds from this transaction.</w:t>
      </w:r>
    </w:p>
    <w:p>
      <w:pPr>
        <w:spacing w:after="0" w:line="93"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8"/>
          <w:szCs w:val="18"/>
          <w:color w:val="auto"/>
        </w:rPr>
        <w:t>At the time of the purchase, the IPO condition attached to these options was removed, that is, the options received by the Founder were immediately exercisable. In accordance with ASC 718, the removal of the IPO condition was accounted for as a Type III modification because the original condition was not expected to be satisfied as of the modification date. Therefore, the difference between the purchase price and fair value of these options before modification, which approximately equaled the purchase price, was recorded as share based compensation expenses. In November 2020, these options were approved by the board to be exercised as 600,000 Class A ordinary shares, and the Founder agreed with Witty network to classify 150,000, out of the 600,000 Class A ordinary shares as additional Restricted Shares, with 50% of these shares vested on August 13, 2021 and 2022 respectively. In addition, the Founder further agreed with Witty network that 410,111 Class B ordinary shares of the previously granted Restricted Shares were vested immediately, while the remaining 13,510,660 Class B ordinary shares, being the unvested Restricted Shares, were also modified with 50% vested on August 13, 2021 and 2022 respectively. Such modification did not have any material impact on the fair value of these share options.</w:t>
      </w:r>
    </w:p>
    <w:p>
      <w:pPr>
        <w:spacing w:after="0" w:line="86" w:lineRule="exact"/>
        <w:rPr>
          <w:sz w:val="20"/>
          <w:szCs w:val="20"/>
          <w:color w:val="auto"/>
        </w:rPr>
      </w:pPr>
    </w:p>
    <w:p>
      <w:pPr>
        <w:ind w:left="640" w:right="60"/>
        <w:spacing w:after="0" w:line="261" w:lineRule="auto"/>
        <w:rPr>
          <w:sz w:val="20"/>
          <w:szCs w:val="20"/>
          <w:color w:val="auto"/>
        </w:rPr>
      </w:pPr>
      <w:r>
        <w:rPr>
          <w:rFonts w:ascii="Times New Roman" w:cs="Times New Roman" w:eastAsia="Times New Roman" w:hAnsi="Times New Roman"/>
          <w:sz w:val="18"/>
          <w:szCs w:val="18"/>
          <w:color w:val="auto"/>
        </w:rPr>
        <w:t>On May 31, 2021, all of the then outstanding restricted shares were issued by EW to Founder Co. to replicate the number and terms of restricted shares originally issued by Witty network. On May 31, 2022, all of the then outstanding restricted shares were issued by the Company to Founder CO. to replicate the number and terms of restricted shares originally issued by EW.</w:t>
      </w:r>
    </w:p>
    <w:p>
      <w:pPr>
        <w:spacing w:after="0" w:line="69" w:lineRule="exact"/>
        <w:rPr>
          <w:sz w:val="20"/>
          <w:szCs w:val="20"/>
          <w:color w:val="auto"/>
        </w:rPr>
      </w:pPr>
    </w:p>
    <w:p>
      <w:pPr>
        <w:ind w:left="640" w:right="400"/>
        <w:spacing w:after="0" w:line="275" w:lineRule="auto"/>
        <w:rPr>
          <w:sz w:val="20"/>
          <w:szCs w:val="20"/>
          <w:color w:val="auto"/>
        </w:rPr>
      </w:pPr>
      <w:r>
        <w:rPr>
          <w:rFonts w:ascii="Times New Roman" w:cs="Times New Roman" w:eastAsia="Times New Roman" w:hAnsi="Times New Roman"/>
          <w:sz w:val="18"/>
          <w:szCs w:val="18"/>
          <w:color w:val="auto"/>
        </w:rPr>
        <w:t>On June 1, 2022, the remaining 75,000 shares of these unvested restricted shares were approved to be vested immediately, and the remaining RMB71 of share-based compensation expenses were recognized immediately.</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August 13, 2022, all of the remaining 6,755,330 restricted shares were fully vested.</w:t>
      </w:r>
    </w:p>
    <w:p>
      <w:pPr>
        <w:spacing w:after="0" w:line="112" w:lineRule="exact"/>
        <w:rPr>
          <w:sz w:val="20"/>
          <w:szCs w:val="20"/>
          <w:color w:val="auto"/>
        </w:rPr>
      </w:pPr>
    </w:p>
    <w:p>
      <w:pPr>
        <w:ind w:left="640" w:right="220"/>
        <w:spacing w:after="0" w:line="305" w:lineRule="auto"/>
        <w:rPr>
          <w:sz w:val="20"/>
          <w:szCs w:val="20"/>
          <w:color w:val="auto"/>
        </w:rPr>
      </w:pPr>
      <w:r>
        <w:rPr>
          <w:rFonts w:ascii="Times New Roman" w:cs="Times New Roman" w:eastAsia="Times New Roman" w:hAnsi="Times New Roman"/>
          <w:sz w:val="17"/>
          <w:szCs w:val="17"/>
          <w:color w:val="auto"/>
        </w:rPr>
        <w:t>Such restriction is deemed as a compensatory arrangement for services to be provided by the Founder, and therefore accounted for as a share-based compensation arrangement. The share-based compensation expenses related to restricted shares are recognized on a graded vesting basis.</w:t>
      </w:r>
    </w:p>
    <w:p>
      <w:pPr>
        <w:spacing w:after="0" w:line="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020"/>
          </w:cols>
          <w:pgMar w:left="320" w:top="452" w:right="5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activities of Restricted Shares for the three months ended September 30, 2021 and 2022 is presented below:</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jc w:val="center"/>
              <w:ind w:left="136"/>
              <w:spacing w:after="0" w:line="14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Value (in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July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13,660,660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(6,830,330)</w:t>
            </w:r>
          </w:p>
        </w:tc>
        <w:tc>
          <w:tcPr>
            <w:tcW w:w="118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September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6,830,330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July 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6,755,330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(6,755,330)</w:t>
            </w:r>
          </w:p>
        </w:tc>
        <w:tc>
          <w:tcPr>
            <w:tcW w:w="118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458"/>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20" w:hanging="421"/>
        <w:spacing w:after="0"/>
        <w:tabs>
          <w:tab w:leader="none" w:pos="62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14" w:lineRule="exact"/>
        <w:rPr>
          <w:rFonts w:ascii="Times New Roman" w:cs="Times New Roman" w:eastAsia="Times New Roman" w:hAnsi="Times New Roman"/>
          <w:sz w:val="18"/>
          <w:szCs w:val="18"/>
          <w:b w:val="1"/>
          <w:bCs w:val="1"/>
          <w:color w:val="auto"/>
        </w:rPr>
      </w:pPr>
    </w:p>
    <w:p>
      <w:pPr>
        <w:ind w:left="6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incorporation of the Company, Witty network issued ordinary shares to shareholders. As of July 1, 2020, Witty network issued 55,683,082 ordinary shares to Founder Co., of which 13,920,770 ordinary shares were restricted and subject to further service condition of the Founder (Note 14(b)).</w:t>
      </w:r>
    </w:p>
    <w:p>
      <w:pPr>
        <w:spacing w:after="0" w:line="69" w:lineRule="exact"/>
        <w:rPr>
          <w:rFonts w:ascii="Times New Roman" w:cs="Times New Roman" w:eastAsia="Times New Roman" w:hAnsi="Times New Roman"/>
          <w:sz w:val="18"/>
          <w:szCs w:val="18"/>
          <w:b w:val="1"/>
          <w:bCs w:val="1"/>
          <w:color w:val="auto"/>
        </w:rPr>
      </w:pPr>
    </w:p>
    <w:p>
      <w:pPr>
        <w:ind w:left="640" w:right="2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2020, 1,640,444 ordinary shares were repurchased by Witty network (Note 14(b)), and the remaining 54,042,638 ordinary shares (including 13,920,770 unvested restricted shares) were all re-designated as Class B ordinary shares with ten votes per share.</w:t>
      </w:r>
    </w:p>
    <w:p>
      <w:pPr>
        <w:spacing w:after="0" w:line="57" w:lineRule="exact"/>
        <w:rPr>
          <w:rFonts w:ascii="Times New Roman" w:cs="Times New Roman" w:eastAsia="Times New Roman" w:hAnsi="Times New Roman"/>
          <w:sz w:val="18"/>
          <w:szCs w:val="18"/>
          <w:b w:val="1"/>
          <w:bCs w:val="1"/>
          <w:color w:val="auto"/>
        </w:rPr>
      </w:pPr>
    </w:p>
    <w:p>
      <w:pPr>
        <w:ind w:left="640" w:right="6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November 4, 2020, 600,000 Class A ordinary shares with one vote per share were issued by Witty network to Founder Co. for nominal consideration, of which 150,000 ordinary shares were restricted and subject to further service condition of the Founder (Note 14(b)).</w:t>
      </w:r>
    </w:p>
    <w:p>
      <w:pPr>
        <w:spacing w:after="0" w:line="34" w:lineRule="exact"/>
        <w:rPr>
          <w:rFonts w:ascii="Times New Roman" w:cs="Times New Roman" w:eastAsia="Times New Roman" w:hAnsi="Times New Roman"/>
          <w:sz w:val="18"/>
          <w:szCs w:val="18"/>
          <w:b w:val="1"/>
          <w:bCs w:val="1"/>
          <w:color w:val="auto"/>
        </w:rPr>
      </w:pPr>
    </w:p>
    <w:p>
      <w:pPr>
        <w:ind w:left="640" w:right="3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2021, 600,000 Class A ordinary shares and 54,042,638 Class B ordinary shares were issued by EW to Founder Co. to replicate the number and terms of ordinary shares originally issued by Witty network.</w:t>
      </w:r>
    </w:p>
    <w:p>
      <w:pPr>
        <w:spacing w:after="0" w:line="57" w:lineRule="exact"/>
        <w:rPr>
          <w:rFonts w:ascii="Times New Roman" w:cs="Times New Roman" w:eastAsia="Times New Roman" w:hAnsi="Times New Roman"/>
          <w:sz w:val="18"/>
          <w:szCs w:val="18"/>
          <w:b w:val="1"/>
          <w:bCs w:val="1"/>
          <w:color w:val="auto"/>
        </w:rPr>
      </w:pPr>
    </w:p>
    <w:p>
      <w:pPr>
        <w:ind w:left="64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9, 2022, the Company was incorporated in the Cayman Islands with an authorized share capital of US$50,000, divided into 500,000,000 shares with a par value of US$0.0001 each. Upon its incorporation, 1 share was allotted and issued to Founder Co. and credited as fully paid.</w:t>
      </w:r>
    </w:p>
    <w:p>
      <w:pPr>
        <w:spacing w:after="0" w:line="69" w:lineRule="exact"/>
        <w:rPr>
          <w:rFonts w:ascii="Times New Roman" w:cs="Times New Roman" w:eastAsia="Times New Roman" w:hAnsi="Times New Roman"/>
          <w:sz w:val="18"/>
          <w:szCs w:val="18"/>
          <w:b w:val="1"/>
          <w:bCs w:val="1"/>
          <w:color w:val="auto"/>
        </w:rPr>
      </w:pPr>
    </w:p>
    <w:p>
      <w:pPr>
        <w:ind w:left="640" w:right="2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completion of the Step 2 Reorganization, the authorized share capital of the Company is US$50,000 consisting of 500,000,000 shares of a nominal or par value of US$0.0001 each, of which:</w:t>
      </w:r>
    </w:p>
    <w:p>
      <w:pPr>
        <w:spacing w:after="0" w:line="70" w:lineRule="exact"/>
        <w:rPr>
          <w:rFonts w:ascii="Times New Roman" w:cs="Times New Roman" w:eastAsia="Times New Roman" w:hAnsi="Times New Roman"/>
          <w:sz w:val="18"/>
          <w:szCs w:val="18"/>
          <w:b w:val="1"/>
          <w:bCs w:val="1"/>
          <w:color w:val="auto"/>
        </w:rPr>
      </w:pPr>
    </w:p>
    <w:p>
      <w:pPr>
        <w:ind w:left="1260" w:hanging="529"/>
        <w:spacing w:after="0"/>
        <w:tabs>
          <w:tab w:leader="none" w:pos="12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345,113,731 are designated as class A ordinary shares of a par value of US$0.0001 each (the “Class A Ordinary Shares”),</w:t>
      </w:r>
    </w:p>
    <w:p>
      <w:pPr>
        <w:spacing w:after="0" w:line="125" w:lineRule="exact"/>
        <w:rPr>
          <w:rFonts w:ascii="Times New Roman" w:cs="Times New Roman" w:eastAsia="Times New Roman" w:hAnsi="Times New Roman"/>
          <w:sz w:val="18"/>
          <w:szCs w:val="18"/>
          <w:color w:val="auto"/>
        </w:rPr>
      </w:pPr>
    </w:p>
    <w:p>
      <w:pPr>
        <w:ind w:left="1260" w:right="80" w:hanging="529"/>
        <w:spacing w:after="0" w:line="275" w:lineRule="auto"/>
        <w:tabs>
          <w:tab w:leader="none" w:pos="12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54,042,638 are designated as class B ordinary shares of a par value of US$0.0001 each (the “Class B Ordinary Shares”, together with the Class A Ordinary Shares, collectively the “Ordinary Shares”),</w:t>
      </w:r>
    </w:p>
    <w:p>
      <w:pPr>
        <w:spacing w:after="0" w:line="70" w:lineRule="exact"/>
        <w:rPr>
          <w:rFonts w:ascii="Times New Roman" w:cs="Times New Roman" w:eastAsia="Times New Roman" w:hAnsi="Times New Roman"/>
          <w:sz w:val="18"/>
          <w:szCs w:val="18"/>
          <w:color w:val="auto"/>
        </w:rPr>
      </w:pPr>
    </w:p>
    <w:p>
      <w:pPr>
        <w:ind w:left="1260" w:right="60" w:hanging="529"/>
        <w:spacing w:after="0" w:line="275" w:lineRule="auto"/>
        <w:tabs>
          <w:tab w:leader="none" w:pos="12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are designated as convertible redeemable series A preferred shares of a par value of US$0.0001 each (the “Series A Preferred Shares”),</w:t>
      </w:r>
    </w:p>
    <w:p>
      <w:pPr>
        <w:spacing w:after="0" w:line="70" w:lineRule="exact"/>
        <w:rPr>
          <w:rFonts w:ascii="Times New Roman" w:cs="Times New Roman" w:eastAsia="Times New Roman" w:hAnsi="Times New Roman"/>
          <w:sz w:val="18"/>
          <w:szCs w:val="18"/>
          <w:color w:val="auto"/>
        </w:rPr>
      </w:pPr>
    </w:p>
    <w:p>
      <w:pPr>
        <w:ind w:left="1260" w:right="80" w:hanging="529"/>
        <w:spacing w:after="0" w:line="275" w:lineRule="auto"/>
        <w:tabs>
          <w:tab w:leader="none" w:pos="12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23,983,789 are designated as convertible redeemable series B preferred shares of a par value of US$0.0001 each (the “Series B Preferred Shares”),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060"/>
          </w:cols>
          <w:pgMar w:left="320" w:top="452" w:right="5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260" w:right="580" w:hanging="529"/>
        <w:spacing w:after="0" w:line="275" w:lineRule="auto"/>
        <w:tabs>
          <w:tab w:leader="none" w:pos="1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7,913,872 are designated as convertible redeemable series B-1 preferred shares of a par value of US$0.0001 each (the “Series B-1 Preferred Shares”),</w:t>
      </w:r>
    </w:p>
    <w:p>
      <w:pPr>
        <w:spacing w:after="0" w:line="70" w:lineRule="exact"/>
        <w:rPr>
          <w:rFonts w:ascii="Times New Roman" w:cs="Times New Roman" w:eastAsia="Times New Roman" w:hAnsi="Times New Roman"/>
          <w:sz w:val="18"/>
          <w:szCs w:val="18"/>
          <w:color w:val="auto"/>
        </w:rPr>
      </w:pPr>
    </w:p>
    <w:p>
      <w:pPr>
        <w:ind w:left="1260" w:right="80" w:hanging="529"/>
        <w:spacing w:after="0" w:line="275" w:lineRule="auto"/>
        <w:tabs>
          <w:tab w:leader="none" w:pos="1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20,327,789 are designated as convertible redeemable series C preferred shares of a par value of US$0.0001 each (the “Series C Preferred Shares”),</w:t>
      </w:r>
    </w:p>
    <w:p>
      <w:pPr>
        <w:spacing w:after="0" w:line="70" w:lineRule="exact"/>
        <w:rPr>
          <w:rFonts w:ascii="Times New Roman" w:cs="Times New Roman" w:eastAsia="Times New Roman" w:hAnsi="Times New Roman"/>
          <w:sz w:val="18"/>
          <w:szCs w:val="18"/>
          <w:color w:val="auto"/>
        </w:rPr>
      </w:pPr>
    </w:p>
    <w:p>
      <w:pPr>
        <w:ind w:left="1260" w:right="80" w:hanging="529"/>
        <w:spacing w:after="0" w:line="275" w:lineRule="auto"/>
        <w:tabs>
          <w:tab w:leader="none" w:pos="1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11,818,754 are designated as convertible redeemable series D preferred shares of a par value of US$0.0001 each (the “Series D Preferred Shares”), and</w:t>
      </w:r>
    </w:p>
    <w:p>
      <w:pPr>
        <w:spacing w:after="0" w:line="70" w:lineRule="exact"/>
        <w:rPr>
          <w:rFonts w:ascii="Times New Roman" w:cs="Times New Roman" w:eastAsia="Times New Roman" w:hAnsi="Times New Roman"/>
          <w:sz w:val="18"/>
          <w:szCs w:val="18"/>
          <w:color w:val="auto"/>
        </w:rPr>
      </w:pPr>
    </w:p>
    <w:p>
      <w:pPr>
        <w:ind w:left="1260" w:right="100" w:hanging="529"/>
        <w:spacing w:after="0" w:line="275" w:lineRule="auto"/>
        <w:tabs>
          <w:tab w:leader="none" w:pos="1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14,799,427 are designated as convertible redeemable series E preferred shares of a par value of US$0.0001 each (the “Series E Preferred Shares”).</w:t>
      </w:r>
    </w:p>
    <w:p>
      <w:pPr>
        <w:spacing w:after="0" w:line="58" w:lineRule="exact"/>
        <w:rPr>
          <w:sz w:val="20"/>
          <w:szCs w:val="20"/>
          <w:color w:val="auto"/>
        </w:rPr>
      </w:pPr>
    </w:p>
    <w:p>
      <w:pPr>
        <w:ind w:left="640" w:right="80"/>
        <w:spacing w:after="0" w:line="256" w:lineRule="auto"/>
        <w:rPr>
          <w:sz w:val="20"/>
          <w:szCs w:val="20"/>
          <w:color w:val="auto"/>
        </w:rPr>
      </w:pPr>
      <w:r>
        <w:rPr>
          <w:rFonts w:ascii="Times New Roman" w:cs="Times New Roman" w:eastAsia="Times New Roman" w:hAnsi="Times New Roman"/>
          <w:sz w:val="18"/>
          <w:szCs w:val="18"/>
          <w:color w:val="auto"/>
        </w:rPr>
        <w:t>Holder of each of the Class A Ordinary Shares is entitled to one vote per share and holder of each of the Class B Ordinary Shares is entitled to ten votes. Class B Ordinary Shares are convertible at any time by the holder into Class A ordinary shares on a one-for-one basis, while Class A ordinary shares are not convertible into Class B ordinary shares under any circumstances. Only Class B Ordinary Shares held by the Founder and Founder Co. enjoy ten votes for every Class B Ordinary Share on a poll.</w:t>
      </w:r>
    </w:p>
    <w:p>
      <w:pPr>
        <w:spacing w:after="0" w:line="74"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On May 31, 2022, 600,000 Class A ordinary shares and 54,042,638 Class B ordinary shares were issued to Founder Co., of which 75,000 Class A ordinary shares and 6,755,330 Class B ordinary shares were still restricted and shall vest in the remaining service period (Note 14(b)). Ordinary shares of the Company were recognized upon issuance of the shares by the Company based on their par value.</w:t>
      </w:r>
    </w:p>
    <w:p>
      <w:pPr>
        <w:spacing w:after="0" w:line="69" w:lineRule="exact"/>
        <w:rPr>
          <w:sz w:val="20"/>
          <w:szCs w:val="20"/>
          <w:color w:val="auto"/>
        </w:rPr>
      </w:pPr>
    </w:p>
    <w:p>
      <w:pPr>
        <w:ind w:left="640" w:right="140"/>
        <w:spacing w:after="0" w:line="275" w:lineRule="auto"/>
        <w:rPr>
          <w:sz w:val="20"/>
          <w:szCs w:val="20"/>
          <w:color w:val="auto"/>
        </w:rPr>
      </w:pPr>
      <w:r>
        <w:rPr>
          <w:rFonts w:ascii="Times New Roman" w:cs="Times New Roman" w:eastAsia="Times New Roman" w:hAnsi="Times New Roman"/>
          <w:sz w:val="18"/>
          <w:szCs w:val="18"/>
          <w:color w:val="auto"/>
        </w:rPr>
        <w:t>On June 1, 2022, 4,183,589 Class B ordinary shares re-designated as the same number of Class A ordinary shares, and 75,000 unvested restricted shares held by the Founder Co. were approved to be vested into Class A ordinary shares.</w:t>
      </w:r>
    </w:p>
    <w:p>
      <w:pPr>
        <w:spacing w:after="0" w:line="58" w:lineRule="exact"/>
        <w:rPr>
          <w:sz w:val="20"/>
          <w:szCs w:val="20"/>
          <w:color w:val="auto"/>
        </w:rPr>
      </w:pPr>
    </w:p>
    <w:p>
      <w:pPr>
        <w:ind w:left="640" w:right="260"/>
        <w:spacing w:after="0" w:line="275" w:lineRule="auto"/>
        <w:rPr>
          <w:sz w:val="20"/>
          <w:szCs w:val="20"/>
          <w:color w:val="auto"/>
        </w:rPr>
      </w:pPr>
      <w:r>
        <w:rPr>
          <w:rFonts w:ascii="Times New Roman" w:cs="Times New Roman" w:eastAsia="Times New Roman" w:hAnsi="Times New Roman"/>
          <w:sz w:val="18"/>
          <w:szCs w:val="18"/>
          <w:color w:val="auto"/>
        </w:rPr>
        <w:t>On August 13, 2022, all of the remaining 6,755,330 restricted shares were fully vested, and the restriction on these Class B ordinary shares was removed.</w:t>
      </w:r>
    </w:p>
    <w:p>
      <w:pPr>
        <w:spacing w:after="0" w:line="308" w:lineRule="exact"/>
        <w:rPr>
          <w:sz w:val="20"/>
          <w:szCs w:val="20"/>
          <w:color w:val="auto"/>
        </w:rPr>
      </w:pPr>
    </w:p>
    <w:p>
      <w:pPr>
        <w:ind w:left="640" w:right="8220" w:hanging="441"/>
        <w:spacing w:after="0" w:line="393" w:lineRule="auto"/>
        <w:tabs>
          <w:tab w:leader="none" w:pos="632" w:val="left"/>
        </w:tabs>
        <w:numPr>
          <w:ilvl w:val="0"/>
          <w:numId w:val="2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Preferred Shares </w:t>
      </w:r>
      <w:r>
        <w:rPr>
          <w:rFonts w:ascii="Times New Roman" w:cs="Times New Roman" w:eastAsia="Times New Roman" w:hAnsi="Times New Roman"/>
          <w:sz w:val="17"/>
          <w:szCs w:val="17"/>
          <w:i w:val="1"/>
          <w:iCs w:val="1"/>
          <w:u w:val="single" w:color="auto"/>
          <w:color w:val="auto"/>
        </w:rPr>
        <w:t>Predecessors’ preferred shares</w:t>
      </w:r>
    </w:p>
    <w:p>
      <w:pPr>
        <w:ind w:left="640" w:right="62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incorporation of the Company, Witty network has issued preferred shares to certain investors. The following table summarizes the issuances of preferred shares by Witty network:</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0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0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060" w:type="dxa"/>
            <w:vAlign w:val="bottom"/>
            <w:gridSpan w:val="2"/>
            <w:vMerge w:val="continue"/>
          </w:tcPr>
          <w:p>
            <w:pPr>
              <w:spacing w:after="0"/>
              <w:rPr>
                <w:sz w:val="12"/>
                <w:szCs w:val="12"/>
                <w:color w:val="auto"/>
              </w:rPr>
            </w:pPr>
          </w:p>
        </w:tc>
        <w:tc>
          <w:tcPr>
            <w:tcW w:w="1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issuance price</w:t>
            </w:r>
          </w:p>
        </w:tc>
        <w:tc>
          <w:tcPr>
            <w:tcW w:w="0" w:type="dxa"/>
            <w:vAlign w:val="bottom"/>
          </w:tcPr>
          <w:p>
            <w:pPr>
              <w:spacing w:after="0"/>
              <w:rPr>
                <w:sz w:val="1"/>
                <w:szCs w:val="1"/>
                <w:color w:val="auto"/>
              </w:rPr>
            </w:pPr>
          </w:p>
        </w:tc>
      </w:tr>
      <w:tr>
        <w:trPr>
          <w:trHeight w:val="191"/>
        </w:trPr>
        <w:tc>
          <w:tcPr>
            <w:tcW w:w="242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 share (US$)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0" w:type="dxa"/>
            <w:vAlign w:val="bottom"/>
          </w:tcPr>
          <w:p>
            <w:pPr>
              <w:spacing w:after="0"/>
              <w:rPr>
                <w:sz w:val="1"/>
                <w:szCs w:val="1"/>
                <w:color w:val="auto"/>
              </w:rPr>
            </w:pPr>
          </w:p>
        </w:tc>
      </w:tr>
      <w:tr>
        <w:trPr>
          <w:trHeight w:val="181"/>
        </w:trPr>
        <w:tc>
          <w:tcPr>
            <w:tcW w:w="3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9"/>
              </w:rPr>
              <w:t>WN-</w:t>
            </w:r>
          </w:p>
        </w:tc>
        <w:tc>
          <w:tcPr>
            <w:tcW w:w="2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w:t>
            </w:r>
          </w:p>
        </w:tc>
        <w:tc>
          <w:tcPr>
            <w:tcW w:w="18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April 2017</w:t>
            </w:r>
          </w:p>
        </w:tc>
        <w:tc>
          <w:tcPr>
            <w:tcW w:w="220" w:type="dxa"/>
            <w:vAlign w:val="bottom"/>
          </w:tcPr>
          <w:p>
            <w:pPr>
              <w:spacing w:after="0"/>
              <w:rPr>
                <w:sz w:val="15"/>
                <w:szCs w:val="15"/>
                <w:color w:val="auto"/>
              </w:rPr>
            </w:pPr>
          </w:p>
        </w:tc>
        <w:tc>
          <w:tcPr>
            <w:tcW w:w="18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22,000,000</w:t>
            </w:r>
          </w:p>
        </w:tc>
        <w:tc>
          <w:tcPr>
            <w:tcW w:w="200" w:type="dxa"/>
            <w:vAlign w:val="bottom"/>
          </w:tcPr>
          <w:p>
            <w:pPr>
              <w:spacing w:after="0"/>
              <w:rPr>
                <w:sz w:val="15"/>
                <w:szCs w:val="15"/>
                <w:color w:val="auto"/>
              </w:rPr>
            </w:pPr>
          </w:p>
        </w:tc>
        <w:tc>
          <w:tcPr>
            <w:tcW w:w="18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0.0455</w:t>
            </w:r>
          </w:p>
        </w:tc>
        <w:tc>
          <w:tcPr>
            <w:tcW w:w="200" w:type="dxa"/>
            <w:vAlign w:val="bottom"/>
          </w:tcPr>
          <w:p>
            <w:pPr>
              <w:spacing w:after="0"/>
              <w:rPr>
                <w:sz w:val="15"/>
                <w:szCs w:val="15"/>
                <w:color w:val="auto"/>
              </w:rPr>
            </w:pPr>
          </w:p>
        </w:tc>
        <w:tc>
          <w:tcPr>
            <w:tcW w:w="17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WN-B</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April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23,983,789</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WN-B-1</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7,913,872</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0.3146</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1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WN-C</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2018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20,327,789</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0.5686</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0" w:type="dxa"/>
            <w:vAlign w:val="bottom"/>
          </w:tcPr>
          <w:p>
            <w:pPr>
              <w:spacing w:after="0"/>
              <w:rPr>
                <w:sz w:val="1"/>
                <w:szCs w:val="1"/>
                <w:color w:val="auto"/>
              </w:rPr>
            </w:pPr>
          </w:p>
        </w:tc>
      </w:tr>
      <w:tr>
        <w:trPr>
          <w:trHeight w:val="21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WN-D</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2020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11,818,754</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0" w:type="dxa"/>
            <w:vAlign w:val="bottom"/>
          </w:tcPr>
          <w:p>
            <w:pPr>
              <w:spacing w:after="0"/>
              <w:rPr>
                <w:sz w:val="1"/>
                <w:szCs w:val="1"/>
                <w:color w:val="auto"/>
              </w:rPr>
            </w:pPr>
          </w:p>
        </w:tc>
      </w:tr>
      <w:tr>
        <w:trPr>
          <w:trHeight w:val="232"/>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WN-E</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November 2020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14,799,427</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right="200"/>
        <w:spacing w:after="0" w:line="275" w:lineRule="auto"/>
        <w:rPr>
          <w:sz w:val="20"/>
          <w:szCs w:val="20"/>
          <w:color w:val="auto"/>
        </w:rPr>
      </w:pPr>
      <w:r>
        <w:rPr>
          <w:rFonts w:ascii="Times New Roman" w:cs="Times New Roman" w:eastAsia="Times New Roman" w:hAnsi="Times New Roman"/>
          <w:sz w:val="18"/>
          <w:szCs w:val="18"/>
          <w:color w:val="auto"/>
        </w:rPr>
        <w:t>In August 2020, in connection with the issuance of series WN-D preferred shares, terms of series WN-A, WN-B, WN-B-1, and WN-C preferred shares were modified to include a redemption right.</w:t>
      </w:r>
    </w:p>
    <w:p>
      <w:pPr>
        <w:spacing w:after="0" w:line="58" w:lineRule="exact"/>
        <w:rPr>
          <w:sz w:val="20"/>
          <w:szCs w:val="20"/>
          <w:color w:val="auto"/>
        </w:rPr>
      </w:pPr>
    </w:p>
    <w:p>
      <w:pPr>
        <w:ind w:left="640" w:right="680"/>
        <w:spacing w:after="0" w:line="275" w:lineRule="auto"/>
        <w:rPr>
          <w:sz w:val="20"/>
          <w:szCs w:val="20"/>
          <w:color w:val="auto"/>
        </w:rPr>
      </w:pPr>
      <w:r>
        <w:rPr>
          <w:rFonts w:ascii="Times New Roman" w:cs="Times New Roman" w:eastAsia="Times New Roman" w:hAnsi="Times New Roman"/>
          <w:sz w:val="18"/>
          <w:szCs w:val="18"/>
          <w:color w:val="auto"/>
        </w:rPr>
        <w:t>On May 31, 2021, preferred shares were issued by EW in connection with the Step 1 Reorganization to replicate the number and terms of preferred shares originally issued by Witty network.</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060"/>
          </w:cols>
          <w:pgMar w:left="320" w:top="452" w:right="51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200"/>
        <w:spacing w:after="0" w:line="275" w:lineRule="auto"/>
        <w:rPr>
          <w:sz w:val="20"/>
          <w:szCs w:val="20"/>
          <w:color w:val="auto"/>
        </w:rPr>
      </w:pPr>
      <w:r>
        <w:rPr>
          <w:rFonts w:ascii="Times New Roman" w:cs="Times New Roman" w:eastAsia="Times New Roman" w:hAnsi="Times New Roman"/>
          <w:sz w:val="18"/>
          <w:szCs w:val="18"/>
          <w:color w:val="auto"/>
        </w:rPr>
        <w:t>On May 31, 2022, preferred shares were issued the Company in connection with the Step 2 Reorganization to replicate the number and terms of preferred shares originally issued by EW.</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shares of the Company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key terms of the preferred shares of the Company are as follows:</w:t>
      </w:r>
    </w:p>
    <w:p>
      <w:pPr>
        <w:spacing w:after="0" w:line="3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Rights</w:t>
      </w:r>
    </w:p>
    <w:p>
      <w:pPr>
        <w:spacing w:after="0" w:line="114" w:lineRule="exact"/>
        <w:rPr>
          <w:sz w:val="20"/>
          <w:szCs w:val="20"/>
          <w:color w:val="auto"/>
        </w:rPr>
      </w:pPr>
    </w:p>
    <w:p>
      <w:pPr>
        <w:ind w:left="640" w:right="520"/>
        <w:spacing w:after="0" w:line="275" w:lineRule="auto"/>
        <w:rPr>
          <w:sz w:val="20"/>
          <w:szCs w:val="20"/>
          <w:color w:val="auto"/>
        </w:rPr>
      </w:pPr>
      <w:r>
        <w:rPr>
          <w:rFonts w:ascii="Times New Roman" w:cs="Times New Roman" w:eastAsia="Times New Roman" w:hAnsi="Times New Roman"/>
          <w:sz w:val="18"/>
          <w:szCs w:val="18"/>
          <w:color w:val="auto"/>
        </w:rPr>
        <w:t>Unless converted earlier pursuant to Automatic Conversion below, each holder of preferred shares shall have the right, at such holder’s sole discretion, to convert all or any portion of the preferred shares into Class A ordinary shares at any time.</w:t>
      </w:r>
    </w:p>
    <w:p>
      <w:pPr>
        <w:spacing w:after="0" w:line="58" w:lineRule="exact"/>
        <w:rPr>
          <w:sz w:val="20"/>
          <w:szCs w:val="20"/>
          <w:color w:val="auto"/>
        </w:rPr>
      </w:pPr>
    </w:p>
    <w:p>
      <w:pPr>
        <w:ind w:left="640" w:right="60"/>
        <w:spacing w:after="0" w:line="261" w:lineRule="auto"/>
        <w:rPr>
          <w:sz w:val="20"/>
          <w:szCs w:val="20"/>
          <w:color w:val="auto"/>
        </w:rPr>
      </w:pPr>
      <w:r>
        <w:rPr>
          <w:rFonts w:ascii="Times New Roman" w:cs="Times New Roman" w:eastAsia="Times New Roman" w:hAnsi="Times New Roman"/>
          <w:sz w:val="18"/>
          <w:szCs w:val="18"/>
          <w:color w:val="auto"/>
        </w:rPr>
        <w:t>Automatic Conversion: Each preferred share shall automatically be converted into Class A Ordinary Shares, at the then applicable conversion price (i) upon the closing of a qualified initial public offering (“QIPO”), and (ii) upon the prior written approval of the holders of a majority of the outstanding preferred shares of each class with respect to conversion of each class.</w:t>
      </w:r>
    </w:p>
    <w:p>
      <w:pPr>
        <w:spacing w:after="0" w:line="69" w:lineRule="exact"/>
        <w:rPr>
          <w:sz w:val="20"/>
          <w:szCs w:val="20"/>
          <w:color w:val="auto"/>
        </w:rPr>
      </w:pPr>
    </w:p>
    <w:p>
      <w:pPr>
        <w:jc w:val="both"/>
        <w:ind w:left="640" w:right="460"/>
        <w:spacing w:after="0" w:line="261" w:lineRule="auto"/>
        <w:rPr>
          <w:sz w:val="20"/>
          <w:szCs w:val="20"/>
          <w:color w:val="auto"/>
        </w:rPr>
      </w:pPr>
      <w:r>
        <w:rPr>
          <w:rFonts w:ascii="Times New Roman" w:cs="Times New Roman" w:eastAsia="Times New Roman" w:hAnsi="Times New Roman"/>
          <w:sz w:val="18"/>
          <w:szCs w:val="18"/>
          <w:color w:val="auto"/>
        </w:rPr>
        <w:t>The initial conversion ratio of preferred shares to ordinary shares shall be 1:1, and shall be subject to adjustments in the event of issuance or deemed issuance of additional ordinary shares below the preferred share conversion price, or share dividends, subdivisions, combinations or consolidations of ordinary shares, other distributions, or reclassification, exchange and substitution.</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Redemption Rights</w:t>
      </w:r>
    </w:p>
    <w:p>
      <w:pPr>
        <w:spacing w:after="0" w:line="114"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The preferred shareholders shall have redemption rights upon the occurrence of any of the following events: (i) the Company fails to complete QIPO or a trade sale within four (4) years after the closing date of the issuance of Series E preferred shares of Witty network; (ii) a material breach by the Group or the Founder or the Founder Co., (iii) the termination of the Founder’s employment/services contract with the Group due to the voluntary termination by the Founder, or (iv) the time when any material adverse change occurs, under which circumstance the captive structure of the Group companies which is established through the VIE Contractual Agreements becomes, or has become invalid, illegal or unenforceable (each a “Redemption Event”); then each preferred share shall be redeemable upon the request of any preferred shareholder.</w:t>
      </w:r>
    </w:p>
    <w:p>
      <w:pPr>
        <w:spacing w:after="0" w:line="79" w:lineRule="exact"/>
        <w:rPr>
          <w:sz w:val="20"/>
          <w:szCs w:val="20"/>
          <w:color w:val="auto"/>
        </w:rPr>
      </w:pPr>
    </w:p>
    <w:p>
      <w:pPr>
        <w:ind w:left="640" w:right="60"/>
        <w:spacing w:after="0" w:line="256" w:lineRule="auto"/>
        <w:rPr>
          <w:sz w:val="20"/>
          <w:szCs w:val="20"/>
          <w:color w:val="auto"/>
        </w:rPr>
      </w:pPr>
      <w:r>
        <w:rPr>
          <w:rFonts w:ascii="Times New Roman" w:cs="Times New Roman" w:eastAsia="Times New Roman" w:hAnsi="Times New Roman"/>
          <w:sz w:val="18"/>
          <w:szCs w:val="18"/>
          <w:color w:val="auto"/>
        </w:rPr>
        <w:t>The redemption price for each outstanding preferred share shall be equal to the product of (x) the applicable deemed preferred share issue price as set forth in the Company’s Memorandum of Association, and (y) (1+8%*N), where N equals to a fraction, (A) the numerator of which is the number of calendar days between the applicable original issue date (as defined in the Company’s Memorandum of Association) and the date on which the relevant redemption price is paid in full and (B) the denominator of which is 365, plus any declared but unpaid dividends.</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Liquidation preference</w:t>
      </w:r>
    </w:p>
    <w:p>
      <w:pPr>
        <w:spacing w:after="0" w:line="114" w:lineRule="exact"/>
        <w:rPr>
          <w:sz w:val="20"/>
          <w:szCs w:val="20"/>
          <w:color w:val="auto"/>
        </w:rPr>
      </w:pPr>
    </w:p>
    <w:p>
      <w:pPr>
        <w:jc w:val="both"/>
        <w:ind w:left="640" w:right="24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the holders of the Series E Preferred Shares shall be entitled to receive, prior to any distribution to the holders of any other class or series of shares then outstanding, an amount per Series E Preferred Share equal to (i) one hundred and twenty five percent (125%) of the applicable Series E deemed preferred share issue price, plus (ii) all accrued or declared but unpaid dividends. The holders of other series of Preferred Shares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040"/>
          </w:cols>
          <w:pgMar w:left="320" w:top="452" w:right="5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right="80"/>
        <w:spacing w:after="0" w:line="275" w:lineRule="auto"/>
        <w:rPr>
          <w:sz w:val="20"/>
          <w:szCs w:val="20"/>
          <w:color w:val="auto"/>
        </w:rPr>
      </w:pPr>
      <w:r>
        <w:rPr>
          <w:rFonts w:ascii="Times New Roman" w:cs="Times New Roman" w:eastAsia="Times New Roman" w:hAnsi="Times New Roman"/>
          <w:sz w:val="18"/>
          <w:szCs w:val="18"/>
          <w:color w:val="auto"/>
        </w:rPr>
        <w:t>shall be entitled to receive an amount per share equal to (i) one hundred percent (100%) of the respective deemed preferred share issue price, plus (ii) all accrued or declared but unpaid dividends.</w:t>
      </w:r>
    </w:p>
    <w:p>
      <w:pPr>
        <w:spacing w:after="0" w:line="58"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7"/>
          <w:szCs w:val="17"/>
          <w:color w:val="auto"/>
        </w:rPr>
        <w:t>Unless waived in writing by the majority of the outstanding preferred shares of each class, (i) the acquisition of the Company (whether by a sale of equity, merger or consolidation) in which in excess of 50% of the Company’s voting power outstanding before such transaction is transferred,</w:t>
      </w:r>
    </w:p>
    <w:p>
      <w:pPr>
        <w:spacing w:after="0" w:line="2" w:lineRule="exact"/>
        <w:rPr>
          <w:sz w:val="20"/>
          <w:szCs w:val="20"/>
          <w:color w:val="auto"/>
        </w:rPr>
      </w:pPr>
    </w:p>
    <w:p>
      <w:pPr>
        <w:ind w:left="640" w:right="520" w:hanging="7"/>
        <w:spacing w:after="0" w:line="253" w:lineRule="auto"/>
        <w:tabs>
          <w:tab w:leader="none" w:pos="90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licensing of all or substantially all of the Company’s proprietary rights; or (iii) a sale, transfer or other disposition of all or substantially all the Company’s assets, shall be deemed a liquidation, dissolution or winding up of the Company.</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Dividend Rights</w:t>
      </w:r>
    </w:p>
    <w:p>
      <w:pPr>
        <w:spacing w:after="0" w:line="114" w:lineRule="exact"/>
        <w:rPr>
          <w:sz w:val="20"/>
          <w:szCs w:val="20"/>
          <w:color w:val="auto"/>
        </w:rPr>
      </w:pPr>
    </w:p>
    <w:p>
      <w:pPr>
        <w:ind w:left="640" w:right="180"/>
        <w:spacing w:after="0" w:line="275" w:lineRule="auto"/>
        <w:rPr>
          <w:sz w:val="20"/>
          <w:szCs w:val="20"/>
          <w:color w:val="auto"/>
        </w:rPr>
      </w:pPr>
      <w:r>
        <w:rPr>
          <w:rFonts w:ascii="Times New Roman" w:cs="Times New Roman" w:eastAsia="Times New Roman" w:hAnsi="Times New Roman"/>
          <w:sz w:val="18"/>
          <w:szCs w:val="18"/>
          <w:color w:val="auto"/>
        </w:rPr>
        <w:t>Holders of the preferred shares shall be entitled to receive any cash or non-cash dividends declared by the Board (including the approval of each investor director) on an as-converted basis.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p>
    <w:p>
      <w:pPr>
        <w:spacing w:after="0" w:line="114" w:lineRule="exact"/>
        <w:rPr>
          <w:sz w:val="20"/>
          <w:szCs w:val="20"/>
          <w:color w:val="auto"/>
        </w:rPr>
      </w:pPr>
    </w:p>
    <w:p>
      <w:pPr>
        <w:jc w:val="both"/>
        <w:ind w:left="640" w:right="80"/>
        <w:spacing w:after="0" w:line="261" w:lineRule="auto"/>
        <w:rPr>
          <w:sz w:val="20"/>
          <w:szCs w:val="20"/>
          <w:color w:val="auto"/>
        </w:rPr>
      </w:pPr>
      <w:r>
        <w:rPr>
          <w:rFonts w:ascii="Times New Roman" w:cs="Times New Roman" w:eastAsia="Times New Roman" w:hAnsi="Times New Roman"/>
          <w:sz w:val="18"/>
          <w:szCs w:val="18"/>
          <w:color w:val="auto"/>
        </w:rPr>
        <w:t>Each preferred share shall carry a number of votes equal to the number of Class A Ordinary Shares then issuable upon its conversion into Class A Ordinary Shares at the record date for determination of the shareholders entitled to vote on such matters, or, if no such record date is established, at the date such vote is taken or any written consent of shareholders is solicited.</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for preferred shares</w:t>
      </w:r>
    </w:p>
    <w:p>
      <w:pPr>
        <w:spacing w:after="0" w:line="114" w:lineRule="exact"/>
        <w:rPr>
          <w:sz w:val="20"/>
          <w:szCs w:val="20"/>
          <w:color w:val="auto"/>
        </w:rPr>
      </w:pPr>
    </w:p>
    <w:p>
      <w:pPr>
        <w:ind w:left="640" w:right="40"/>
        <w:spacing w:after="0" w:line="283" w:lineRule="auto"/>
        <w:rPr>
          <w:sz w:val="20"/>
          <w:szCs w:val="20"/>
          <w:color w:val="auto"/>
        </w:rPr>
      </w:pPr>
      <w:r>
        <w:rPr>
          <w:rFonts w:ascii="Times New Roman" w:cs="Times New Roman" w:eastAsia="Times New Roman" w:hAnsi="Times New Roman"/>
          <w:sz w:val="17"/>
          <w:szCs w:val="17"/>
          <w:color w:val="auto"/>
        </w:rPr>
        <w:t>The Company classified the preferred shares in the mezzanine equity of the unaudited interim condensed consolidated balance sheets as they are contingently redeemable at the options of the holders. The Company also determined that the embedded conversion features and the redemption features do not require bifurcation as they either are clearly and closely related to the preferred shares or do not meet the definition of a derivative.</w:t>
      </w:r>
    </w:p>
    <w:p>
      <w:pPr>
        <w:spacing w:after="0" w:line="53" w:lineRule="exact"/>
        <w:rPr>
          <w:sz w:val="20"/>
          <w:szCs w:val="20"/>
          <w:color w:val="auto"/>
        </w:rPr>
      </w:pPr>
    </w:p>
    <w:p>
      <w:pPr>
        <w:ind w:left="640" w:right="60"/>
        <w:spacing w:after="0" w:line="250" w:lineRule="auto"/>
        <w:rPr>
          <w:sz w:val="20"/>
          <w:szCs w:val="20"/>
          <w:color w:val="auto"/>
        </w:rPr>
      </w:pPr>
      <w:r>
        <w:rPr>
          <w:rFonts w:ascii="Times New Roman" w:cs="Times New Roman" w:eastAsia="Times New Roman" w:hAnsi="Times New Roman"/>
          <w:sz w:val="18"/>
          <w:szCs w:val="18"/>
          <w:color w:val="auto"/>
        </w:rPr>
        <w:t>Preferred shares of the Company were recognized upon the issuance of the shares by the Company on the completion date of the Reorganization and measured based on portion of carrying value of the Predecessors’ preferred shares attributable to the Listing Businesses using the relative fair value method. The preferred shares was subsequently be accreted to its redemption value (if higher than the fair value at issue date). The Company records accretion on the preferred shares, where applicable, to the redemption value from the issuance date to the earliest redemption dates. The accretion calculated using the effective interest method, is recorded against retained earnings, or in the absence of retained earnings, by charging against additional paid-in capital. Once additional paid-in capital has been exhausted, additional charges are recorded by increasing the accumulated deficit. The issuance costs for Preferred Shares were nil for the periods presented. The accretion of preferred shares to redemption value was RMB2,987 for the period from the issuance date to September 30, 2022.</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040"/>
          </w:cols>
          <w:pgMar w:left="320" w:top="452" w:right="5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Group’s preferred shares activities for the three months ended September 30, 2022 are summarized below:</w:t>
      </w:r>
    </w:p>
    <w:p>
      <w:pPr>
        <w:spacing w:after="0" w:line="24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347"/>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8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8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Series C</w:t>
            </w:r>
          </w:p>
        </w:tc>
        <w:tc>
          <w:tcPr>
            <w:tcW w:w="8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Series D</w:t>
            </w:r>
          </w:p>
        </w:tc>
        <w:tc>
          <w:tcPr>
            <w:tcW w:w="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Series E</w:t>
            </w: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7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3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9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9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5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4"/>
                <w:szCs w:val="14"/>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40"/>
        </w:trPr>
        <w:tc>
          <w:tcPr>
            <w:tcW w:w="20" w:type="dxa"/>
            <w:vAlign w:val="bottom"/>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7"/>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64"/>
        </w:trPr>
        <w:tc>
          <w:tcPr>
            <w:tcW w:w="20" w:type="dxa"/>
            <w:vAlign w:val="bottom"/>
          </w:tcPr>
          <w:p>
            <w:pPr>
              <w:spacing w:after="0"/>
              <w:rPr>
                <w:sz w:val="14"/>
                <w:szCs w:val="14"/>
                <w:color w:val="auto"/>
              </w:rPr>
            </w:pPr>
          </w:p>
        </w:tc>
        <w:tc>
          <w:tcPr>
            <w:tcW w:w="11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July 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23,983,789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7,913,872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20,327,789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11,818,754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104,156</w:t>
            </w:r>
          </w:p>
        </w:tc>
        <w:tc>
          <w:tcPr>
            <w:tcW w:w="84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14,799,427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100,843,631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664,16</w:t>
            </w: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Accretion of</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share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redemption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value</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184"/>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23,983,789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7,913,872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20,327,789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11,818,754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106,541</w:t>
            </w:r>
          </w:p>
        </w:tc>
        <w:tc>
          <w:tcPr>
            <w:tcW w:w="84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14,799,427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100,843,631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673,62</w:t>
            </w:r>
          </w:p>
        </w:tc>
      </w:tr>
    </w:tbl>
    <w:p>
      <w:pPr>
        <w:spacing w:after="0" w:line="99" w:lineRule="exact"/>
        <w:rPr>
          <w:sz w:val="20"/>
          <w:szCs w:val="20"/>
          <w:color w:val="auto"/>
        </w:rPr>
      </w:pPr>
    </w:p>
    <w:p>
      <w:pPr>
        <w:ind w:left="620" w:hanging="421"/>
        <w:spacing w:after="0"/>
        <w:tabs>
          <w:tab w:leader="none" w:pos="62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14" w:lineRule="exact"/>
        <w:rPr>
          <w:rFonts w:ascii="Times New Roman" w:cs="Times New Roman" w:eastAsia="Times New Roman" w:hAnsi="Times New Roman"/>
          <w:sz w:val="18"/>
          <w:szCs w:val="18"/>
          <w:b w:val="1"/>
          <w:bCs w:val="1"/>
          <w:color w:val="auto"/>
        </w:rPr>
      </w:pPr>
    </w:p>
    <w:p>
      <w:pPr>
        <w:ind w:left="640" w:righ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is the amount of net loss available to each share of ordinary shares outstanding during the reporting period. Diluted net loss per share is the amount of net loss available to each share of ordinary shares outstanding during the reporting period adjusted to include the effect of potentially dilutive ordinary equivalent shares.</w:t>
      </w:r>
    </w:p>
    <w:p>
      <w:pPr>
        <w:spacing w:after="0" w:line="69" w:lineRule="exact"/>
        <w:rPr>
          <w:rFonts w:ascii="Times New Roman" w:cs="Times New Roman" w:eastAsia="Times New Roman" w:hAnsi="Times New Roman"/>
          <w:sz w:val="18"/>
          <w:szCs w:val="18"/>
          <w:b w:val="1"/>
          <w:bCs w:val="1"/>
          <w:color w:val="auto"/>
        </w:rPr>
      </w:pPr>
    </w:p>
    <w:p>
      <w:pPr>
        <w:ind w:left="640" w:righ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2022, the Company completed the Reorganization and issued 54,642,638 ordinary shares, of which 47,812,308 ordinary shares were outstanding, and issued 100,843,631 preferred shares which had the same number and terms of preferred shares originally issued by EW immediately before the Reorganization completion (See Note 15 and 16).</w:t>
      </w:r>
    </w:p>
    <w:p>
      <w:pPr>
        <w:spacing w:after="0" w:line="69" w:lineRule="exact"/>
        <w:rPr>
          <w:rFonts w:ascii="Times New Roman" w:cs="Times New Roman" w:eastAsia="Times New Roman" w:hAnsi="Times New Roman"/>
          <w:sz w:val="18"/>
          <w:szCs w:val="18"/>
          <w:b w:val="1"/>
          <w:bCs w:val="1"/>
          <w:color w:val="auto"/>
        </w:rPr>
      </w:pPr>
    </w:p>
    <w:p>
      <w:pPr>
        <w:ind w:left="640" w:right="3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the basic and diluted loss per share for the periods presented, the effect of the Reorganization was accounted for in a manner similar to a stock split or stock dividend which was accounted for in accordance with ASC 260. Thus, the number of the ordinary shares and preferred shares newly issued by the Company was retrospectively included since the beginning of the earliest period presented or the original issuance date of Predecessors, whichever is later, in calculating the loss per ordinary share.</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340"/>
          </w:cols>
          <w:pgMar w:left="320" w:top="452" w:right="2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Basic loss per share and diluted loss per share were calculated in accordance with ASC 260 Earnings per share for the three months ended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September 30, 2021 and 2022 as below:</w:t>
      </w:r>
    </w:p>
    <w:p>
      <w:pPr>
        <w:spacing w:after="0" w:line="22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For Three Months Ended</w:t>
      </w:r>
    </w:p>
    <w:p>
      <w:pPr>
        <w:jc w:val="center"/>
        <w:ind w:left="82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79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0"/>
        </w:trPr>
        <w:tc>
          <w:tcPr>
            <w:tcW w:w="7900" w:type="dxa"/>
            <w:vAlign w:val="bottom"/>
          </w:tcPr>
          <w:p>
            <w:pPr>
              <w:spacing w:after="0"/>
              <w:rPr>
                <w:sz w:val="12"/>
                <w:szCs w:val="12"/>
                <w:color w:val="auto"/>
              </w:rPr>
            </w:pPr>
          </w:p>
        </w:tc>
        <w:tc>
          <w:tcPr>
            <w:tcW w:w="1020" w:type="dxa"/>
            <w:vAlign w:val="bottom"/>
          </w:tcPr>
          <w:p>
            <w:pPr>
              <w:jc w:val="right"/>
              <w:ind w:right="27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1040" w:type="dxa"/>
            <w:vAlign w:val="bottom"/>
          </w:tcPr>
          <w:p>
            <w:pPr>
              <w:jc w:val="right"/>
              <w:ind w:right="276"/>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(77,927)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(97,278)</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accretion of Predecessors’ preferred shares (i)</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(6,122)</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(9,469)</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QuantaSing Group Limited</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(84,049)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(106,747)</w:t>
            </w:r>
          </w:p>
        </w:tc>
      </w:tr>
      <w:tr>
        <w:trPr>
          <w:trHeight w:val="21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 basic and diluted (ii)</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46,836,816</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54,439,786</w:t>
            </w:r>
          </w:p>
        </w:tc>
        <w:tc>
          <w:tcPr>
            <w:tcW w:w="140" w:type="dxa"/>
            <w:vAlign w:val="bottom"/>
            <w:shd w:val="clear" w:color="auto" w:fill="CCEEFF"/>
          </w:tcPr>
          <w:p>
            <w:pPr>
              <w:spacing w:after="0"/>
              <w:rPr>
                <w:sz w:val="18"/>
                <w:szCs w:val="18"/>
                <w:color w:val="auto"/>
              </w:rPr>
            </w:pPr>
          </w:p>
        </w:tc>
      </w:tr>
      <w:tr>
        <w:trPr>
          <w:trHeight w:val="225"/>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9"/>
                <w:szCs w:val="19"/>
                <w:color w:val="auto"/>
              </w:rPr>
            </w:pPr>
          </w:p>
        </w:tc>
      </w:tr>
    </w:tbl>
    <w:p>
      <w:pPr>
        <w:spacing w:after="0" w:line="82" w:lineRule="exact"/>
        <w:rPr>
          <w:sz w:val="20"/>
          <w:szCs w:val="20"/>
          <w:color w:val="auto"/>
        </w:rPr>
      </w:pPr>
    </w:p>
    <w:p>
      <w:pPr>
        <w:jc w:val="both"/>
        <w:ind w:left="640" w:right="160"/>
        <w:spacing w:after="0" w:line="261" w:lineRule="auto"/>
        <w:rPr>
          <w:sz w:val="20"/>
          <w:szCs w:val="20"/>
          <w:color w:val="auto"/>
        </w:rPr>
      </w:pPr>
      <w:r>
        <w:rPr>
          <w:rFonts w:ascii="Times New Roman" w:cs="Times New Roman" w:eastAsia="Times New Roman" w:hAnsi="Times New Roman"/>
          <w:sz w:val="18"/>
          <w:szCs w:val="18"/>
          <w:color w:val="auto"/>
        </w:rPr>
        <w:t>For the purpose of calculating loss per share for the periods before the Step 2 Reorganization, accretion and the deemed dividend incurred by the preferred shares issued by WN and EW (the “Predecessors’ preferred shares”) were allocated to the Listing Businesses based on the relative fair value of the Listing Businesses and the Predecessors group.</w:t>
      </w:r>
    </w:p>
    <w:p>
      <w:pPr>
        <w:spacing w:after="0" w:line="83" w:lineRule="exact"/>
        <w:rPr>
          <w:sz w:val="20"/>
          <w:szCs w:val="20"/>
          <w:color w:val="auto"/>
        </w:rPr>
      </w:pPr>
    </w:p>
    <w:p>
      <w:pPr>
        <w:ind w:left="1160" w:right="360" w:hanging="535"/>
        <w:spacing w:after="0" w:line="275" w:lineRule="auto"/>
        <w:tabs>
          <w:tab w:leader="none" w:pos="11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accretion of Predecessors’ preferred shares to redemption value attributable to the Listing Businesses was RMB6,122 for the three months ended September 30, 2021.</w:t>
      </w:r>
    </w:p>
    <w:p>
      <w:pPr>
        <w:spacing w:after="0" w:line="70" w:lineRule="exact"/>
        <w:rPr>
          <w:rFonts w:ascii="Times New Roman" w:cs="Times New Roman" w:eastAsia="Times New Roman" w:hAnsi="Times New Roman"/>
          <w:sz w:val="18"/>
          <w:szCs w:val="18"/>
          <w:color w:val="auto"/>
        </w:rPr>
      </w:pPr>
    </w:p>
    <w:p>
      <w:pPr>
        <w:ind w:left="1160" w:right="200" w:hanging="535"/>
        <w:spacing w:after="0" w:line="305" w:lineRule="auto"/>
        <w:tabs>
          <w:tab w:leader="none" w:pos="1160"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and diluted net loss per share are computed using the weighted average number of ordinary shares outstanding during the period, including 2,291,186 and 3,027,958 vested options with nominal exercise price for the three months ended September 30, 2021 and 2022.</w:t>
      </w:r>
    </w:p>
    <w:p>
      <w:pPr>
        <w:spacing w:after="0" w:line="34" w:lineRule="exact"/>
        <w:rPr>
          <w:rFonts w:ascii="Times New Roman" w:cs="Times New Roman" w:eastAsia="Times New Roman" w:hAnsi="Times New Roman"/>
          <w:sz w:val="17"/>
          <w:szCs w:val="17"/>
          <w:color w:val="auto"/>
        </w:rPr>
      </w:pPr>
    </w:p>
    <w:p>
      <w:pPr>
        <w:ind w:left="1180" w:right="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the three months ended September 30, 2021 and 2022, the Company had potential ordinary shares, including preferred shares, share options and restricted shares. On a weighted average basis, 100,843,631 and 100,843,631 preferred shares, 5,799,782 and 4,947,972 share options, and 10,097,010 and 3,230,810 restricted shares were excluded from the computation of diluted net loss per ordinary share because including them would have had an anti-dilutive effect for the three months ended September 30, 2021 and 2022, respectively.</w:t>
      </w:r>
    </w:p>
    <w:p>
      <w:pPr>
        <w:spacing w:after="0" w:line="85" w:lineRule="exact"/>
        <w:rPr>
          <w:rFonts w:ascii="Times New Roman" w:cs="Times New Roman" w:eastAsia="Times New Roman" w:hAnsi="Times New Roman"/>
          <w:sz w:val="17"/>
          <w:szCs w:val="17"/>
          <w:color w:val="auto"/>
        </w:rPr>
      </w:pPr>
    </w:p>
    <w:p>
      <w:pPr>
        <w:ind w:left="620" w:hanging="421"/>
        <w:spacing w:after="0"/>
        <w:tabs>
          <w:tab w:leader="none" w:pos="62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4" w:lineRule="exact"/>
        <w:rPr>
          <w:rFonts w:ascii="Times New Roman" w:cs="Times New Roman" w:eastAsia="Times New Roman" w:hAnsi="Times New Roman"/>
          <w:sz w:val="18"/>
          <w:szCs w:val="18"/>
          <w:b w:val="1"/>
          <w:bCs w:val="1"/>
          <w:color w:val="auto"/>
        </w:rPr>
      </w:pPr>
    </w:p>
    <w:p>
      <w:pPr>
        <w:jc w:val="both"/>
        <w:ind w:left="640" w:righ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unaudited interim condensed consolidated financial statements include costs and expenses allocated from the Predecessors for periods prior to the Reorganization, amounted to RMB35,577 for the three months ended September 30, 2021. In addition, the Predecessors provided cash funding support to the Group to satisfy the Listing Businesses’ working capital requirements. See Note 1(b) for more detailed information.</w:t>
      </w:r>
    </w:p>
    <w:p>
      <w:pPr>
        <w:spacing w:after="0" w:line="7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historically relied on the Predecessors for certain of the Group’s funding.</w:t>
      </w:r>
    </w:p>
    <w:p>
      <w:pPr>
        <w:spacing w:after="0" w:line="1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060"/>
          </w:cols>
          <w:pgMar w:left="320" w:top="451" w:right="51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640"/>
        <w:spacing w:after="0" w:line="196" w:lineRule="exact"/>
        <w:rPr>
          <w:sz w:val="20"/>
          <w:szCs w:val="20"/>
          <w:color w:val="auto"/>
        </w:rPr>
      </w:pPr>
      <w:r>
        <w:rPr>
          <w:rFonts w:ascii="Times New Roman" w:cs="Times New Roman" w:eastAsia="Times New Roman" w:hAnsi="Times New Roman"/>
          <w:sz w:val="17"/>
          <w:szCs w:val="17"/>
          <w:color w:val="auto"/>
        </w:rPr>
        <w:t>The table below sets forth the major related parties and their relationships with the Group as of June 30</w:t>
      </w:r>
      <w:r>
        <w:rPr>
          <w:rFonts w:ascii="MS PGothic" w:cs="MS PGothic" w:eastAsia="MS PGothic" w:hAnsi="MS PGothic"/>
          <w:sz w:val="14"/>
          <w:szCs w:val="14"/>
          <w:color w:val="auto"/>
        </w:rPr>
        <w:t>，</w:t>
      </w:r>
      <w:r>
        <w:rPr>
          <w:rFonts w:ascii="Times New Roman" w:cs="Times New Roman" w:eastAsia="Times New Roman" w:hAnsi="Times New Roman"/>
          <w:sz w:val="17"/>
          <w:szCs w:val="17"/>
          <w:color w:val="auto"/>
        </w:rPr>
        <w:t>2022 and September 30, 2022:</w:t>
      </w:r>
    </w:p>
    <w:p>
      <w:pPr>
        <w:sectPr>
          <w:pgSz w:w="11900" w:h="16838" w:orient="portrait"/>
          <w:cols w:equalWidth="0" w:num="1">
            <w:col w:w="11060"/>
          </w:cols>
          <w:pgMar w:left="320" w:top="452" w:right="519" w:bottom="1440" w:gutter="0" w:footer="0" w:header="0"/>
        </w:sectPr>
      </w:pP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Name of related parties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p>
      <w:pPr>
        <w:spacing w:after="0" w:line="16" w:lineRule="exact"/>
        <w:rPr>
          <w:sz w:val="20"/>
          <w:szCs w:val="20"/>
          <w:color w:val="auto"/>
        </w:rPr>
      </w:pPr>
    </w:p>
    <w:p>
      <w:pPr>
        <w:sectPr>
          <w:pgSz w:w="11900" w:h="16838" w:orient="portrait"/>
          <w:cols w:equalWidth="0" w:num="2">
            <w:col w:w="7020" w:space="720"/>
            <w:col w:w="3320"/>
          </w:cols>
          <w:pgMar w:left="320" w:top="452" w:right="51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Mr. Peng Li</w:t>
      </w:r>
    </w:p>
    <w:p>
      <w:pPr>
        <w:ind w:left="640"/>
        <w:spacing w:after="0"/>
        <w:rPr>
          <w:sz w:val="20"/>
          <w:szCs w:val="20"/>
          <w:color w:val="auto"/>
        </w:rPr>
      </w:pPr>
      <w:r>
        <w:rPr>
          <w:rFonts w:ascii="Times New Roman" w:cs="Times New Roman" w:eastAsia="Times New Roman" w:hAnsi="Times New Roman"/>
          <w:sz w:val="18"/>
          <w:szCs w:val="18"/>
          <w:color w:val="auto"/>
        </w:rPr>
        <w:t>EW Technology Limited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Beijing Baichuan Insurance Brokerage Co., Ltd.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Shenzhen Shanchangshuiyuan Network Technology Co., Ltd.</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Beijing Xingyuejiaohui Network Technology Co., Ltd.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Beijing Shanronghaina Network Technology Co., Ltd.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Baichuanxianghai Technology Co., Ltd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Shenzhen Erwan Education Technology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Founder</w:t>
      </w: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controlled by the same shareholders with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controlled by the Founder</w:t>
      </w:r>
    </w:p>
    <w:p>
      <w:pPr>
        <w:spacing w:after="0" w:line="106" w:lineRule="exact"/>
        <w:rPr>
          <w:sz w:val="20"/>
          <w:szCs w:val="20"/>
          <w:color w:val="auto"/>
        </w:rPr>
      </w:pPr>
    </w:p>
    <w:p>
      <w:pPr>
        <w:sectPr>
          <w:pgSz w:w="11900" w:h="16838" w:orient="portrait"/>
          <w:cols w:equalWidth="0" w:num="2">
            <w:col w:w="5440" w:space="720"/>
            <w:col w:w="4900"/>
          </w:cols>
          <w:pgMar w:left="320" w:top="452" w:right="519" w:bottom="1440" w:gutter="0" w:footer="0" w:header="0"/>
          <w:type w:val="continuous"/>
        </w:sectPr>
      </w:pPr>
    </w:p>
    <w:p>
      <w:pPr>
        <w:ind w:left="1160" w:hanging="535"/>
        <w:spacing w:after="0"/>
        <w:tabs>
          <w:tab w:leader="none" w:pos="11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transactions entered into during the three months ended September 30, 2021 and 2022 were as follows: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8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5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280" w:type="dxa"/>
            <w:vAlign w:val="bottom"/>
            <w:vMerge w:val="continue"/>
          </w:tcPr>
          <w:p>
            <w:pPr>
              <w:spacing w:after="0"/>
              <w:rPr>
                <w:sz w:val="12"/>
                <w:szCs w:val="12"/>
                <w:color w:val="auto"/>
              </w:rPr>
            </w:pPr>
          </w:p>
        </w:tc>
        <w:tc>
          <w:tcPr>
            <w:tcW w:w="740" w:type="dxa"/>
            <w:vAlign w:val="bottom"/>
            <w:tcBorders>
              <w:bottom w:val="single" w:sz="8" w:color="auto"/>
            </w:tcBorders>
          </w:tcPr>
          <w:p>
            <w:pPr>
              <w:ind w:left="220"/>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spacing w:after="0"/>
              <w:rPr>
                <w:sz w:val="12"/>
                <w:szCs w:val="12"/>
                <w:color w:val="auto"/>
              </w:rPr>
            </w:pPr>
          </w:p>
        </w:tc>
        <w:tc>
          <w:tcPr>
            <w:tcW w:w="740" w:type="dxa"/>
            <w:vAlign w:val="bottom"/>
          </w:tcPr>
          <w:p>
            <w:pPr>
              <w:ind w:left="20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i w:val="1"/>
                <w:iCs w:val="1"/>
                <w:color w:val="auto"/>
              </w:rPr>
              <w:t xml:space="preserve">(i) Transactions recorded in revenue </w:t>
            </w:r>
            <w:r>
              <w:rPr>
                <w:rFonts w:ascii="Times New Roman" w:cs="Times New Roman" w:eastAsia="Times New Roman" w:hAnsi="Times New Roman"/>
                <w:sz w:val="24"/>
                <w:szCs w:val="24"/>
                <w:color w:val="auto"/>
                <w:vertAlign w:val="superscript"/>
              </w:rPr>
              <w:t>(1)</w:t>
            </w:r>
          </w:p>
        </w:tc>
        <w:tc>
          <w:tcPr>
            <w:tcW w:w="15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(ii) Other transactions</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from related parties</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(28,460)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 to related parties</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(39,340)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lending to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—Disposal of subsidiaries to related parties </w:t>
            </w:r>
            <w:r>
              <w:rPr>
                <w:rFonts w:ascii="Times New Roman" w:cs="Times New Roman" w:eastAsia="Times New Roman" w:hAnsi="Times New Roman"/>
                <w:sz w:val="24"/>
                <w:szCs w:val="24"/>
                <w:color w:val="auto"/>
                <w:vertAlign w:val="superscript"/>
              </w:rPr>
              <w:t>(2)</w:t>
            </w:r>
          </w:p>
        </w:tc>
        <w:tc>
          <w:tcPr>
            <w:tcW w:w="15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160" w:right="180" w:hanging="535"/>
        <w:spacing w:after="0" w:line="275" w:lineRule="auto"/>
        <w:tabs>
          <w:tab w:leader="none" w:pos="11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due from related parties as of June 30, 2022 and September 30, 2022 were as follows. There was no outstanding balance due to related parties as of June 30, 2022 and September 30, 2022.</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1"/>
        </w:trPr>
        <w:tc>
          <w:tcPr>
            <w:tcW w:w="84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0"/>
        </w:trPr>
        <w:tc>
          <w:tcPr>
            <w:tcW w:w="8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r>
      <w:tr>
        <w:trPr>
          <w:trHeight w:val="140"/>
        </w:trPr>
        <w:tc>
          <w:tcPr>
            <w:tcW w:w="8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Borders>
              <w:bottom w:val="single" w:sz="8" w:color="CCEEFF"/>
            </w:tcBorders>
          </w:tcPr>
          <w:p>
            <w:pPr>
              <w:spacing w:after="0"/>
              <w:rPr>
                <w:sz w:val="12"/>
                <w:szCs w:val="12"/>
                <w:color w:val="auto"/>
              </w:rPr>
            </w:pPr>
          </w:p>
        </w:tc>
      </w:tr>
      <w:tr>
        <w:trPr>
          <w:trHeight w:val="20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from related parties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47,394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24,933</w:t>
            </w:r>
          </w:p>
        </w:tc>
        <w:tc>
          <w:tcPr>
            <w:tcW w:w="60" w:type="dxa"/>
            <w:vAlign w:val="bottom"/>
            <w:shd w:val="clear" w:color="auto" w:fill="CCEEFF"/>
          </w:tcPr>
          <w:p>
            <w:pPr>
              <w:spacing w:after="0"/>
              <w:rPr>
                <w:sz w:val="17"/>
                <w:szCs w:val="17"/>
                <w:color w:val="auto"/>
              </w:rPr>
            </w:pPr>
          </w:p>
        </w:tc>
      </w:tr>
      <w:tr>
        <w:trPr>
          <w:trHeight w:val="213"/>
        </w:trPr>
        <w:tc>
          <w:tcPr>
            <w:tcW w:w="84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Due from Beijing Baichuan Insurance Brokerage Co., Ltd. </w:t>
            </w:r>
            <w:r>
              <w:rPr>
                <w:rFonts w:ascii="Times New Roman" w:cs="Times New Roman" w:eastAsia="Times New Roman" w:hAnsi="Times New Roman"/>
                <w:sz w:val="24"/>
                <w:szCs w:val="24"/>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60" w:type="dxa"/>
            <w:vAlign w:val="bottom"/>
          </w:tcPr>
          <w:p>
            <w:pPr>
              <w:spacing w:after="0"/>
              <w:rPr>
                <w:sz w:val="18"/>
                <w:szCs w:val="18"/>
                <w:color w:val="auto"/>
              </w:rPr>
            </w:pPr>
          </w:p>
        </w:tc>
      </w:tr>
      <w:tr>
        <w:trPr>
          <w:trHeight w:val="213"/>
        </w:trPr>
        <w:tc>
          <w:tcPr>
            <w:tcW w:w="84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Other receivable from Beijing Shanronghaina Network Technology Co., Ltd. </w:t>
            </w:r>
            <w:r>
              <w:rPr>
                <w:rFonts w:ascii="Times New Roman" w:cs="Times New Roman" w:eastAsia="Times New Roman" w:hAnsi="Times New Roman"/>
                <w:sz w:val="24"/>
                <w:szCs w:val="24"/>
                <w:color w:val="auto"/>
                <w:vertAlign w:val="superscript"/>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from Baichuanxianghai Technology Co., Ltd.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5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 from Beijing Baichuan Insurance Brokerage Co.Ltd.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bl>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w:t>
      </w:r>
    </w:p>
    <w:p>
      <w:pPr>
        <w:spacing w:after="0" w:line="125" w:lineRule="exact"/>
        <w:rPr>
          <w:sz w:val="20"/>
          <w:szCs w:val="20"/>
          <w:color w:val="auto"/>
        </w:rPr>
      </w:pPr>
    </w:p>
    <w:p>
      <w:pPr>
        <w:jc w:val="both"/>
        <w:ind w:left="1160" w:right="20" w:hanging="535"/>
        <w:spacing w:after="0" w:line="261" w:lineRule="auto"/>
        <w:tabs>
          <w:tab w:leader="none" w:pos="11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Feierlai has been providing marketing services to Beijing Baichuan Insurance Brokerage Co., Ltd. by referring learners to purchase insurance policies and earned commissions for the service, which was recorded as revenues from related parties subsequent to the disposal of Baichuan.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060"/>
          </w:cols>
          <w:pgMar w:left="320" w:top="452" w:right="519" w:bottom="1440" w:gutter="0" w:footer="0" w:header="0"/>
          <w:type w:val="continuous"/>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 (Continued)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 and per share data, or otherwise noted)</w:t>
      </w:r>
    </w:p>
    <w:p>
      <w:pPr>
        <w:spacing w:after="0" w:line="226" w:lineRule="exact"/>
        <w:rPr>
          <w:sz w:val="20"/>
          <w:szCs w:val="20"/>
          <w:color w:val="auto"/>
        </w:rPr>
      </w:pPr>
    </w:p>
    <w:p>
      <w:pPr>
        <w:ind w:left="1160" w:right="280" w:hanging="535"/>
        <w:spacing w:after="0" w:line="254" w:lineRule="auto"/>
        <w:tabs>
          <w:tab w:leader="none" w:pos="11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disposed of ChangYou Star to Beijing Shanronghaina Network Technology Co., Ltd. at a consideration of RMB22,000 in March 2022, and RMB2,000 of consideration for disposal of Baichuan has not been collected as of June 30, 2022; the amount has been fully collected during the three months ended September 30, 2022.</w:t>
      </w:r>
    </w:p>
    <w:p>
      <w:pPr>
        <w:ind w:left="1160" w:right="40" w:hanging="535"/>
        <w:spacing w:after="0" w:line="253" w:lineRule="auto"/>
        <w:tabs>
          <w:tab w:leader="none" w:pos="11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loans to related parties were unsecured and with maturity of less than a year. The loans receivable as of June 30, 2022 have been fully collected during the three months ended September 30, 2022.</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occurred in the periods presented.</w:t>
      </w:r>
    </w:p>
    <w:p>
      <w:pPr>
        <w:spacing w:after="0" w:line="363" w:lineRule="exact"/>
        <w:rPr>
          <w:sz w:val="20"/>
          <w:szCs w:val="20"/>
          <w:color w:val="auto"/>
        </w:rPr>
      </w:pPr>
    </w:p>
    <w:p>
      <w:pPr>
        <w:ind w:left="640" w:right="7940" w:hanging="441"/>
        <w:spacing w:after="0" w:line="393" w:lineRule="auto"/>
        <w:tabs>
          <w:tab w:leader="none" w:pos="632"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Operating lease commitment</w:t>
      </w:r>
    </w:p>
    <w:p>
      <w:pPr>
        <w:ind w:left="640" w:right="6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September 30, 2022, there were no unconditional purchase obligations, such as future lease payment under non-cancelable agreements, that have not been recognized on the balance sheet.</w:t>
      </w:r>
    </w:p>
    <w:p>
      <w:pPr>
        <w:spacing w:after="0" w:line="268"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Legal Proceedings</w:t>
      </w:r>
    </w:p>
    <w:p>
      <w:pPr>
        <w:spacing w:after="0" w:line="114" w:lineRule="exact"/>
        <w:rPr>
          <w:rFonts w:ascii="Times New Roman" w:cs="Times New Roman" w:eastAsia="Times New Roman" w:hAnsi="Times New Roman"/>
          <w:sz w:val="17"/>
          <w:szCs w:val="17"/>
          <w:b w:val="1"/>
          <w:bCs w:val="1"/>
          <w:color w:val="auto"/>
        </w:rPr>
      </w:pPr>
    </w:p>
    <w:p>
      <w:pPr>
        <w:ind w:left="640" w:right="3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June 30, 2022 and September 30, 2022, the Group was not involved in any legal or administrative proceedings that may have a material adverse impact on the Group’s business, financial position results of operations, or cash flows.</w:t>
      </w:r>
    </w:p>
    <w:p>
      <w:pPr>
        <w:spacing w:after="0" w:line="308" w:lineRule="exact"/>
        <w:rPr>
          <w:rFonts w:ascii="Times New Roman" w:cs="Times New Roman" w:eastAsia="Times New Roman" w:hAnsi="Times New Roman"/>
          <w:sz w:val="17"/>
          <w:szCs w:val="17"/>
          <w:b w:val="1"/>
          <w:bCs w:val="1"/>
          <w:color w:val="auto"/>
        </w:rPr>
      </w:pPr>
    </w:p>
    <w:p>
      <w:pPr>
        <w:ind w:left="620" w:hanging="421"/>
        <w:spacing w:after="0"/>
        <w:tabs>
          <w:tab w:leader="none" w:pos="62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4" w:lineRule="exact"/>
        <w:rPr>
          <w:rFonts w:ascii="Times New Roman" w:cs="Times New Roman" w:eastAsia="Times New Roman" w:hAnsi="Times New Roman"/>
          <w:sz w:val="18"/>
          <w:szCs w:val="18"/>
          <w:b w:val="1"/>
          <w:bCs w:val="1"/>
          <w:color w:val="auto"/>
        </w:rPr>
      </w:pPr>
    </w:p>
    <w:p>
      <w:pPr>
        <w:ind w:left="640" w:right="2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2022, the Group entered into a new lease agreement with a third party with lease period from December 1, 2022 to November 30, 2025. The lease is for corporate offices and the total undiscounted lease payment is approximately RMB100,875.</w:t>
      </w:r>
    </w:p>
    <w:p>
      <w:pPr>
        <w:spacing w:after="0" w:line="57" w:lineRule="exact"/>
        <w:rPr>
          <w:rFonts w:ascii="Times New Roman" w:cs="Times New Roman" w:eastAsia="Times New Roman" w:hAnsi="Times New Roman"/>
          <w:sz w:val="18"/>
          <w:szCs w:val="18"/>
          <w:b w:val="1"/>
          <w:bCs w:val="1"/>
          <w:color w:val="auto"/>
        </w:rPr>
      </w:pPr>
    </w:p>
    <w:p>
      <w:pPr>
        <w:ind w:left="64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2022, the Company reduced the exercise prices of 7,190,000 share options granted to employees before September 30, 2022 under the 2021 Plan, and all other terms of these options remain unchanged. The incremental fair value resulted from the modification of these share options is accounted for subsequent to the balance sheet date.</w:t>
      </w:r>
    </w:p>
    <w:p>
      <w:pPr>
        <w:spacing w:after="0" w:line="6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20, 2022, the Company increased its authorized share capital by US$20,000 divided into 200,000,000 Class A Ordinary Shares.</w:t>
      </w:r>
    </w:p>
    <w:p>
      <w:pPr>
        <w:spacing w:after="0" w:line="112" w:lineRule="exact"/>
        <w:rPr>
          <w:rFonts w:ascii="Times New Roman" w:cs="Times New Roman" w:eastAsia="Times New Roman" w:hAnsi="Times New Roman"/>
          <w:sz w:val="18"/>
          <w:szCs w:val="18"/>
          <w:b w:val="1"/>
          <w:bCs w:val="1"/>
          <w:color w:val="auto"/>
        </w:rPr>
      </w:pPr>
    </w:p>
    <w:p>
      <w:pPr>
        <w:jc w:val="both"/>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evaluated subsequent events through December 20, 2022, which is the date the unaudited interim condensed consolidated financial statements are issued, with no other material events or transactions identified that should have been recorded or disclosed in the unaudited interim condensed consolidated financial statements.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F-109</w:t>
      </w:r>
    </w:p>
    <w:sectPr>
      <w:pgSz w:w="11900" w:h="16838" w:orient="portrait"/>
      <w:cols w:equalWidth="0" w:num="1">
        <w:col w:w="11020"/>
      </w:cols>
      <w:pgMar w:left="320" w:top="45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1)"/>
      <w:numFmt w:val="decimal"/>
      <w:start w:val="1"/>
    </w:lvl>
  </w:abstractNum>
  <w:abstractNum w:abstractNumId="1">
    <w:nsid w:val="45E6D486"/>
    <w:multiLevelType w:val="hybridMultilevel"/>
    <w:lvl w:ilvl="0">
      <w:lvlJc w:val="left"/>
      <w:lvlText w:val="\emdash "/>
      <w:numFmt w:val="bullet"/>
      <w:start w:val="1"/>
    </w:lvl>
  </w:abstractNum>
  <w:abstractNum w:abstractNumId="2">
    <w:nsid w:val="5C10FE21"/>
    <w:multiLevelType w:val="hybridMultilevel"/>
    <w:lvl w:ilvl="0">
      <w:lvlJc w:val="left"/>
      <w:lvlText w:val="(%1)"/>
      <w:numFmt w:val="decimal"/>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1)"/>
      <w:numFmt w:val="decimal"/>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1)"/>
      <w:numFmt w:val="decimal"/>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
      <w:numFmt w:val="bullet"/>
      <w:start w:val="1"/>
    </w:lvl>
  </w:abstractNum>
  <w:abstractNum w:abstractNumId="16">
    <w:nsid w:val="5675FF36"/>
    <w:multiLevelType w:val="hybridMultilevel"/>
    <w:lvl w:ilvl="0">
      <w:lvlJc w:val="left"/>
      <w:lvlText w:val="(%1)"/>
      <w:numFmt w:val="decimal"/>
      <w:start w:val="1"/>
    </w:lvl>
  </w:abstractNum>
  <w:abstractNum w:abstractNumId="17">
    <w:nsid w:val="3DD15094"/>
    <w:multiLevelType w:val="hybridMultilevel"/>
    <w:lvl w:ilvl="0">
      <w:lvlJc w:val="left"/>
      <w:lvlText w:val="(%1)"/>
      <w:numFmt w:val="decimal"/>
      <w:start w:val="1"/>
    </w:lvl>
  </w:abstractNum>
  <w:abstractNum w:abstractNumId="18">
    <w:nsid w:val="3DB012B3"/>
    <w:multiLevelType w:val="hybridMultilevel"/>
    <w:lvl w:ilvl="0">
      <w:lvlJc w:val="left"/>
      <w:lvlText w:val="(%1)"/>
      <w:numFmt w:val="decimal"/>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1)"/>
      <w:numFmt w:val="decimal"/>
      <w:start w:val="1"/>
    </w:lvl>
  </w:abstractNum>
  <w:abstractNum w:abstractNumId="24">
    <w:nsid w:val="34FD6B4F"/>
    <w:multiLevelType w:val="hybridMultilevel"/>
    <w:lvl w:ilvl="0">
      <w:lvlJc w:val="left"/>
      <w:lvlText w:val="•"/>
      <w:numFmt w:val="bullet"/>
      <w:start w:val="1"/>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1)"/>
      <w:numFmt w:val="decimal"/>
      <w:start w:val="2"/>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1)"/>
      <w:numFmt w:val="decimal"/>
      <w:start w:val="1"/>
    </w:lvl>
  </w:abstractNum>
  <w:abstractNum w:abstractNumId="30">
    <w:nsid w:val="4DF72E4E"/>
    <w:multiLevelType w:val="hybridMultilevel"/>
    <w:lvl w:ilvl="0">
      <w:lvlJc w:val="left"/>
      <w:lvlText w:val="(%1)"/>
      <w:numFmt w:val="decimal"/>
      <w:start w:val="3"/>
    </w:lvl>
  </w:abstractNum>
  <w:abstractNum w:abstractNumId="31">
    <w:nsid w:val="5046B5A9"/>
    <w:multiLevelType w:val="hybridMultilevel"/>
    <w:lvl w:ilvl="0">
      <w:lvlJc w:val="left"/>
      <w:lvlText w:val="(%1)"/>
      <w:numFmt w:val="decimal"/>
      <w:start w:val="5"/>
    </w:lvl>
  </w:abstractNum>
  <w:abstractNum w:abstractNumId="32">
    <w:nsid w:val="5D888A08"/>
    <w:multiLevelType w:val="hybridMultilevel"/>
    <w:lvl w:ilvl="0">
      <w:lvlJc w:val="left"/>
      <w:lvlText w:val="•"/>
      <w:numFmt w:val="bullet"/>
      <w:start w:val="1"/>
    </w:lvl>
  </w:abstractNum>
  <w:abstractNum w:abstractNumId="33">
    <w:nsid w:val="2A082C70"/>
    <w:multiLevelType w:val="hybridMultilevel"/>
    <w:lvl w:ilvl="0">
      <w:lvlJc w:val="left"/>
      <w:lvlText w:val="•"/>
      <w:numFmt w:val="bullet"/>
      <w:start w:val="1"/>
    </w:lvl>
  </w:abstractNum>
  <w:abstractNum w:abstractNumId="34">
    <w:nsid w:val="5EC6AFD4"/>
    <w:multiLevelType w:val="hybridMultilevel"/>
    <w:lvl w:ilvl="0">
      <w:lvlJc w:val="left"/>
      <w:lvlText w:val="\emdash "/>
      <w:numFmt w:val="bullet"/>
      <w:start w:val="1"/>
    </w:lvl>
  </w:abstractNum>
  <w:abstractNum w:abstractNumId="35">
    <w:nsid w:val="19E21BB2"/>
    <w:multiLevelType w:val="hybridMultilevel"/>
    <w:lvl w:ilvl="0">
      <w:lvlJc w:val="left"/>
      <w:lvlText w:val="•"/>
      <w:numFmt w:val="bullet"/>
      <w:start w:val="1"/>
    </w:lvl>
  </w:abstractNum>
  <w:abstractNum w:abstractNumId="36">
    <w:nsid w:val="75E0858A"/>
    <w:multiLevelType w:val="hybridMultilevel"/>
    <w:lvl w:ilvl="0">
      <w:lvlJc w:val="left"/>
      <w:lvlText w:val="(%1)"/>
      <w:numFmt w:val="decimal"/>
      <w:start w:val="1"/>
    </w:lvl>
  </w:abstractNum>
  <w:abstractNum w:abstractNumId="37">
    <w:nsid w:val="57A61A29"/>
    <w:multiLevelType w:val="hybridMultilevel"/>
    <w:lvl w:ilvl="0">
      <w:lvlJc w:val="left"/>
      <w:lvlText w:val="•"/>
      <w:numFmt w:val="bullet"/>
      <w:start w:val="1"/>
    </w:lvl>
  </w:abstractNum>
  <w:abstractNum w:abstractNumId="38">
    <w:nsid w:val="5399C654"/>
    <w:multiLevelType w:val="hybridMultilevel"/>
    <w:lvl w:ilvl="0">
      <w:lvlJc w:val="left"/>
      <w:lvlText w:val="•"/>
      <w:numFmt w:val="bullet"/>
      <w:start w:val="1"/>
    </w:lvl>
  </w:abstractNum>
  <w:abstractNum w:abstractNumId="39">
    <w:nsid w:val="20EE1348"/>
    <w:multiLevelType w:val="hybridMultilevel"/>
    <w:lvl w:ilvl="0">
      <w:lvlJc w:val="left"/>
      <w:lvlText w:val="(%1)"/>
      <w:numFmt w:val="decimal"/>
      <w:start w:val="1"/>
    </w:lvl>
  </w:abstractNum>
  <w:abstractNum w:abstractNumId="40">
    <w:nsid w:val="4427069A"/>
    <w:multiLevelType w:val="hybridMultilevel"/>
    <w:lvl w:ilvl="0">
      <w:lvlJc w:val="left"/>
      <w:lvlText w:val="(%1)"/>
      <w:numFmt w:val="decimal"/>
      <w:start w:val="1"/>
    </w:lvl>
  </w:abstractNum>
  <w:abstractNum w:abstractNumId="41">
    <w:nsid w:val="B37E80A"/>
    <w:multiLevelType w:val="hybridMultilevel"/>
    <w:lvl w:ilvl="0">
      <w:lvlJc w:val="left"/>
      <w:lvlText w:val="(%1)"/>
      <w:numFmt w:val="decimal"/>
      <w:start w:val="1"/>
    </w:lvl>
  </w:abstractNum>
  <w:abstractNum w:abstractNumId="42">
    <w:nsid w:val="2157F6BC"/>
    <w:multiLevelType w:val="hybridMultilevel"/>
    <w:lvl w:ilvl="0">
      <w:lvlJc w:val="left"/>
      <w:lvlText w:val="(%1)"/>
      <w:numFmt w:val="decimal"/>
      <w:start w:val="1"/>
    </w:lvl>
  </w:abstractNum>
  <w:abstractNum w:abstractNumId="43">
    <w:nsid w:val="704E1DD5"/>
    <w:multiLevelType w:val="hybridMultilevel"/>
    <w:lvl w:ilvl="0">
      <w:lvlJc w:val="left"/>
      <w:lvlText w:val="(%1)"/>
      <w:numFmt w:val="decimal"/>
      <w:start w:val="1"/>
    </w:lvl>
  </w:abstractNum>
  <w:abstractNum w:abstractNumId="44">
    <w:nsid w:val="57D2F10E"/>
    <w:multiLevelType w:val="hybridMultilevel"/>
    <w:lvl w:ilvl="0">
      <w:lvlJc w:val="left"/>
      <w:lvlText w:val="(%1)"/>
      <w:numFmt w:val="decimal"/>
      <w:start w:val="1"/>
    </w:lvl>
  </w:abstractNum>
  <w:abstractNum w:abstractNumId="45">
    <w:nsid w:val="BFFAE18"/>
    <w:multiLevelType w:val="hybridMultilevel"/>
    <w:lvl w:ilvl="0">
      <w:lvlJc w:val="left"/>
      <w:lvlText w:val="(%1)"/>
      <w:numFmt w:val="decimal"/>
      <w:start w:val="1"/>
    </w:lvl>
  </w:abstractNum>
  <w:abstractNum w:abstractNumId="46">
    <w:nsid w:val="E3E47A8"/>
    <w:multiLevelType w:val="hybridMultilevel"/>
    <w:lvl w:ilvl="0">
      <w:lvlJc w:val="left"/>
      <w:lvlText w:val="•"/>
      <w:numFmt w:val="bullet"/>
      <w:start w:val="1"/>
    </w:lvl>
  </w:abstractNum>
  <w:abstractNum w:abstractNumId="47">
    <w:nsid w:val="2E48F044"/>
    <w:multiLevelType w:val="hybridMultilevel"/>
    <w:lvl w:ilvl="0">
      <w:lvlJc w:val="left"/>
      <w:lvlText w:val="•"/>
      <w:numFmt w:val="bullet"/>
      <w:start w:val="1"/>
    </w:lvl>
  </w:abstractNum>
  <w:abstractNum w:abstractNumId="48">
    <w:nsid w:val="49D0FEAC"/>
    <w:multiLevelType w:val="hybridMultilevel"/>
    <w:lvl w:ilvl="0">
      <w:lvlJc w:val="left"/>
      <w:lvlText w:val="•"/>
      <w:numFmt w:val="bullet"/>
      <w:start w:val="1"/>
    </w:lvl>
  </w:abstractNum>
  <w:abstractNum w:abstractNumId="49">
    <w:nsid w:val="4BEE5A5B"/>
    <w:multiLevelType w:val="hybridMultilevel"/>
    <w:lvl w:ilvl="0">
      <w:lvlJc w:val="left"/>
      <w:lvlText w:val="(%1)"/>
      <w:numFmt w:val="decimal"/>
      <w:start w:val="1"/>
    </w:lvl>
  </w:abstractNum>
  <w:abstractNum w:abstractNumId="50">
    <w:nsid w:val="5551B9F3"/>
    <w:multiLevelType w:val="hybridMultilevel"/>
    <w:lvl w:ilvl="0">
      <w:lvlJc w:val="left"/>
      <w:lvlText w:val="(%1)"/>
      <w:numFmt w:val="decimal"/>
      <w:start w:val="1"/>
    </w:lvl>
  </w:abstractNum>
  <w:abstractNum w:abstractNumId="51">
    <w:nsid w:val="24F6AB8E"/>
    <w:multiLevelType w:val="hybridMultilevel"/>
    <w:lvl w:ilvl="0">
      <w:lvlJc w:val="left"/>
      <w:lvlText w:val="(%1)"/>
      <w:numFmt w:val="decimal"/>
      <w:start w:val="1"/>
    </w:lvl>
  </w:abstractNum>
  <w:abstractNum w:abstractNumId="52">
    <w:nsid w:val="634C574C"/>
    <w:multiLevelType w:val="hybridMultilevel"/>
    <w:lvl w:ilvl="0">
      <w:lvlJc w:val="left"/>
      <w:lvlText w:val="•"/>
      <w:numFmt w:val="bullet"/>
      <w:start w:val="1"/>
    </w:lvl>
  </w:abstractNum>
  <w:abstractNum w:abstractNumId="53">
    <w:nsid w:val="24E99DD7"/>
    <w:multiLevelType w:val="hybridMultilevel"/>
    <w:lvl w:ilvl="0">
      <w:lvlJc w:val="left"/>
      <w:lvlText w:val="•"/>
      <w:numFmt w:val="bullet"/>
      <w:start w:val="1"/>
    </w:lvl>
  </w:abstractNum>
  <w:abstractNum w:abstractNumId="54">
    <w:nsid w:val="2A31B62D"/>
    <w:multiLevelType w:val="hybridMultilevel"/>
    <w:lvl w:ilvl="0">
      <w:lvlJc w:val="left"/>
      <w:lvlText w:val="•"/>
      <w:numFmt w:val="bullet"/>
      <w:start w:val="1"/>
    </w:lvl>
  </w:abstractNum>
  <w:abstractNum w:abstractNumId="55">
    <w:nsid w:val="1849C29B"/>
    <w:multiLevelType w:val="hybridMultilevel"/>
    <w:lvl w:ilvl="0">
      <w:lvlJc w:val="left"/>
      <w:lvlText w:val="•"/>
      <w:numFmt w:val="bullet"/>
      <w:start w:val="1"/>
    </w:lvl>
  </w:abstractNum>
  <w:abstractNum w:abstractNumId="56">
    <w:nsid w:val="7DFF9D09"/>
    <w:multiLevelType w:val="hybridMultilevel"/>
    <w:lvl w:ilvl="0">
      <w:lvlJc w:val="left"/>
      <w:lvlText w:val="•"/>
      <w:numFmt w:val="bullet"/>
      <w:start w:val="1"/>
    </w:lvl>
  </w:abstractNum>
  <w:abstractNum w:abstractNumId="57">
    <w:nsid w:val="754342"/>
    <w:multiLevelType w:val="hybridMultilevel"/>
    <w:lvl w:ilvl="0">
      <w:lvlJc w:val="left"/>
      <w:lvlText w:val="•"/>
      <w:numFmt w:val="bullet"/>
      <w:start w:val="1"/>
    </w:lvl>
  </w:abstractNum>
  <w:abstractNum w:abstractNumId="58">
    <w:nsid w:val="69E7F3E5"/>
    <w:multiLevelType w:val="hybridMultilevel"/>
    <w:lvl w:ilvl="0">
      <w:lvlJc w:val="left"/>
      <w:lvlText w:val="•"/>
      <w:numFmt w:val="bullet"/>
      <w:start w:val="1"/>
    </w:lvl>
  </w:abstractNum>
  <w:abstractNum w:abstractNumId="59">
    <w:nsid w:val="2A6DE806"/>
    <w:multiLevelType w:val="hybridMultilevel"/>
    <w:lvl w:ilvl="0">
      <w:lvlJc w:val="left"/>
      <w:lvlText w:val="•"/>
      <w:numFmt w:val="bullet"/>
      <w:start w:val="1"/>
    </w:lvl>
  </w:abstractNum>
  <w:abstractNum w:abstractNumId="60">
    <w:nsid w:val="1816F8C4"/>
    <w:multiLevelType w:val="hybridMultilevel"/>
    <w:lvl w:ilvl="0">
      <w:lvlJc w:val="left"/>
      <w:lvlText w:val="(%1)"/>
      <w:numFmt w:val="decimal"/>
      <w:start w:val="1"/>
    </w:lvl>
  </w:abstractNum>
  <w:abstractNum w:abstractNumId="61">
    <w:nsid w:val="37DF2233"/>
    <w:multiLevelType w:val="hybridMultilevel"/>
    <w:lvl w:ilvl="0">
      <w:lvlJc w:val="left"/>
      <w:lvlText w:val="(%1)"/>
      <w:numFmt w:val="decimal"/>
      <w:start w:val="2"/>
    </w:lvl>
  </w:abstractNum>
  <w:abstractNum w:abstractNumId="62">
    <w:nsid w:val="7AB49DAF"/>
    <w:multiLevelType w:val="hybridMultilevel"/>
    <w:lvl w:ilvl="0">
      <w:lvlJc w:val="left"/>
      <w:lvlText w:val="(%1)"/>
      <w:numFmt w:val="decimal"/>
      <w:start w:val="1"/>
    </w:lvl>
  </w:abstractNum>
  <w:abstractNum w:abstractNumId="63">
    <w:nsid w:val="759F82CD"/>
    <w:multiLevelType w:val="hybridMultilevel"/>
    <w:lvl w:ilvl="0">
      <w:lvlJc w:val="left"/>
      <w:lvlText w:val="•"/>
      <w:numFmt w:val="bullet"/>
      <w:start w:val="1"/>
    </w:lvl>
  </w:abstractNum>
  <w:abstractNum w:abstractNumId="64">
    <w:nsid w:val="61E74EA3"/>
    <w:multiLevelType w:val="hybridMultilevel"/>
    <w:lvl w:ilvl="0">
      <w:lvlJc w:val="left"/>
      <w:lvlText w:val="•"/>
      <w:numFmt w:val="bullet"/>
      <w:start w:val="1"/>
    </w:lvl>
  </w:abstractNum>
  <w:abstractNum w:abstractNumId="65">
    <w:nsid w:val="597B4D84"/>
    <w:multiLevelType w:val="hybridMultilevel"/>
    <w:lvl w:ilvl="0">
      <w:lvlJc w:val="left"/>
      <w:lvlText w:val="•"/>
      <w:numFmt w:val="bullet"/>
      <w:start w:val="1"/>
    </w:lvl>
  </w:abstractNum>
  <w:abstractNum w:abstractNumId="66">
    <w:nsid w:val="F819E7F"/>
    <w:multiLevelType w:val="hybridMultilevel"/>
    <w:lvl w:ilvl="0">
      <w:lvlJc w:val="left"/>
      <w:lvlText w:val="•"/>
      <w:numFmt w:val="bullet"/>
      <w:start w:val="1"/>
    </w:lvl>
  </w:abstractNum>
  <w:abstractNum w:abstractNumId="67">
    <w:nsid w:val="57C7D42D"/>
    <w:multiLevelType w:val="hybridMultilevel"/>
    <w:lvl w:ilvl="0">
      <w:lvlJc w:val="left"/>
      <w:lvlText w:val="*"/>
      <w:numFmt w:val="bullet"/>
      <w:start w:val="1"/>
    </w:lvl>
  </w:abstractNum>
  <w:abstractNum w:abstractNumId="68">
    <w:nsid w:val="312167AD"/>
    <w:multiLevelType w:val="hybridMultilevel"/>
    <w:lvl w:ilvl="0">
      <w:lvlJc w:val="left"/>
      <w:lvlText w:val="•"/>
      <w:numFmt w:val="bullet"/>
      <w:start w:val="1"/>
    </w:lvl>
  </w:abstractNum>
  <w:abstractNum w:abstractNumId="69">
    <w:nsid w:val="631B64D4"/>
    <w:multiLevelType w:val="hybridMultilevel"/>
    <w:lvl w:ilvl="0">
      <w:lvlJc w:val="left"/>
      <w:lvlText w:val="*"/>
      <w:numFmt w:val="bullet"/>
      <w:start w:val="1"/>
    </w:lvl>
  </w:abstractNum>
  <w:abstractNum w:abstractNumId="70">
    <w:nsid w:val="78B5E776"/>
    <w:multiLevelType w:val="hybridMultilevel"/>
    <w:lvl w:ilvl="0">
      <w:lvlJc w:val="left"/>
      <w:lvlText w:val="#"/>
      <w:numFmt w:val="bullet"/>
      <w:start w:val="1"/>
    </w:lvl>
  </w:abstractNum>
  <w:abstractNum w:abstractNumId="71">
    <w:nsid w:val="75486E47"/>
    <w:multiLevelType w:val="hybridMultilevel"/>
    <w:lvl w:ilvl="0">
      <w:lvlJc w:val="left"/>
      <w:lvlText w:val="†"/>
      <w:numFmt w:val="bullet"/>
      <w:start w:val="1"/>
    </w:lvl>
  </w:abstractNum>
  <w:abstractNum w:abstractNumId="72">
    <w:nsid w:val="6E534CDE"/>
    <w:multiLevelType w:val="hybridMultilevel"/>
    <w:lvl w:ilvl="0">
      <w:lvlJc w:val="left"/>
      <w:lvlText w:val="††"/>
      <w:numFmt w:val="bullet"/>
      <w:start w:val="1"/>
    </w:lvl>
  </w:abstractNum>
  <w:abstractNum w:abstractNumId="73">
    <w:nsid w:val="1A0DDE32"/>
    <w:multiLevelType w:val="hybridMultilevel"/>
    <w:lvl w:ilvl="0">
      <w:lvlJc w:val="left"/>
      <w:lvlText w:val="(%1)"/>
      <w:numFmt w:val="decimal"/>
      <w:start w:val="1"/>
    </w:lvl>
  </w:abstractNum>
  <w:abstractNum w:abstractNumId="74">
    <w:nsid w:val="65968C1C"/>
    <w:multiLevelType w:val="hybridMultilevel"/>
    <w:lvl w:ilvl="0">
      <w:lvlJc w:val="left"/>
      <w:lvlText w:val="(%1)"/>
      <w:numFmt w:val="decimal"/>
      <w:start w:val="4"/>
    </w:lvl>
  </w:abstractNum>
  <w:abstractNum w:abstractNumId="75">
    <w:nsid w:val="46263DEC"/>
    <w:multiLevelType w:val="hybridMultilevel"/>
    <w:lvl w:ilvl="0">
      <w:lvlJc w:val="left"/>
      <w:lvlText w:val="•"/>
      <w:numFmt w:val="bullet"/>
      <w:start w:val="1"/>
    </w:lvl>
  </w:abstractNum>
  <w:abstractNum w:abstractNumId="76">
    <w:nsid w:val="260D8C4A"/>
    <w:multiLevelType w:val="hybridMultilevel"/>
    <w:lvl w:ilvl="0">
      <w:lvlJc w:val="left"/>
      <w:lvlText w:val="•"/>
      <w:numFmt w:val="bullet"/>
      <w:start w:val="1"/>
    </w:lvl>
  </w:abstractNum>
  <w:abstractNum w:abstractNumId="77">
    <w:nsid w:val="73D4D3C4"/>
    <w:multiLevelType w:val="hybridMultilevel"/>
    <w:lvl w:ilvl="0">
      <w:lvlJc w:val="left"/>
      <w:lvlText w:val="•"/>
      <w:numFmt w:val="bullet"/>
      <w:start w:val="1"/>
    </w:lvl>
  </w:abstractNum>
  <w:abstractNum w:abstractNumId="78">
    <w:nsid w:val="746F2E30"/>
    <w:multiLevelType w:val="hybridMultilevel"/>
    <w:lvl w:ilvl="0">
      <w:lvlJc w:val="left"/>
      <w:lvlText w:val="•"/>
      <w:numFmt w:val="bullet"/>
      <w:start w:val="1"/>
    </w:lvl>
  </w:abstractNum>
  <w:abstractNum w:abstractNumId="79">
    <w:nsid w:val="6FDE8AF6"/>
    <w:multiLevelType w:val="hybridMultilevel"/>
    <w:lvl w:ilvl="0">
      <w:lvlJc w:val="left"/>
      <w:lvlText w:val="(%1)"/>
      <w:numFmt w:val="lowerLetter"/>
      <w:start w:val="2"/>
    </w:lvl>
  </w:abstractNum>
  <w:abstractNum w:abstractNumId="80">
    <w:nsid w:val="3FC32E20"/>
    <w:multiLevelType w:val="hybridMultilevel"/>
    <w:lvl w:ilvl="0">
      <w:lvlJc w:val="left"/>
      <w:lvlText w:val="•"/>
      <w:numFmt w:val="bullet"/>
      <w:start w:val="1"/>
    </w:lvl>
  </w:abstractNum>
  <w:abstractNum w:abstractNumId="81">
    <w:nsid w:val="49C0E823"/>
    <w:multiLevelType w:val="hybridMultilevel"/>
    <w:lvl w:ilvl="0">
      <w:lvlJc w:val="left"/>
      <w:lvlText w:val="•"/>
      <w:numFmt w:val="bullet"/>
      <w:start w:val="1"/>
    </w:lvl>
  </w:abstractNum>
  <w:abstractNum w:abstractNumId="82">
    <w:nsid w:val="14D53685"/>
    <w:multiLevelType w:val="hybridMultilevel"/>
    <w:lvl w:ilvl="0">
      <w:lvlJc w:val="left"/>
      <w:lvlText w:val="•"/>
      <w:numFmt w:val="bullet"/>
      <w:start w:val="1"/>
    </w:lvl>
  </w:abstractNum>
  <w:abstractNum w:abstractNumId="83">
    <w:nsid w:val="230F856C"/>
    <w:multiLevelType w:val="hybridMultilevel"/>
    <w:lvl w:ilvl="0">
      <w:lvlJc w:val="left"/>
      <w:lvlText w:val="(%1)"/>
      <w:numFmt w:val="lowerRoman"/>
      <w:start w:val="1"/>
    </w:lvl>
  </w:abstractNum>
  <w:abstractNum w:abstractNumId="84">
    <w:nsid w:val="6EAA85FB"/>
    <w:multiLevelType w:val="hybridMultilevel"/>
    <w:lvl w:ilvl="0">
      <w:lvlJc w:val="left"/>
      <w:lvlText w:val="(%1)"/>
      <w:numFmt w:val="lowerLetter"/>
      <w:start w:val="1"/>
    </w:lvl>
  </w:abstractNum>
  <w:abstractNum w:abstractNumId="85">
    <w:nsid w:val="3F06ECB2"/>
    <w:multiLevelType w:val="hybridMultilevel"/>
    <w:lvl w:ilvl="0">
      <w:lvlJc w:val="left"/>
      <w:lvlText w:val="(%1)"/>
      <w:numFmt w:val="decimal"/>
      <w:start w:val="5"/>
    </w:lvl>
  </w:abstractNum>
  <w:abstractNum w:abstractNumId="86">
    <w:nsid w:val="3B594807"/>
    <w:multiLevelType w:val="hybridMultilevel"/>
    <w:lvl w:ilvl="0">
      <w:lvlJc w:val="left"/>
      <w:lvlText w:val="•"/>
      <w:numFmt w:val="bullet"/>
      <w:start w:val="1"/>
    </w:lvl>
  </w:abstractNum>
  <w:abstractNum w:abstractNumId="87">
    <w:nsid w:val="6CAA2304"/>
    <w:multiLevelType w:val="hybridMultilevel"/>
    <w:lvl w:ilvl="0">
      <w:lvlJc w:val="left"/>
      <w:lvlText w:val="•"/>
      <w:numFmt w:val="bullet"/>
      <w:start w:val="1"/>
    </w:lvl>
  </w:abstractNum>
  <w:abstractNum w:abstractNumId="88">
    <w:nsid w:val="3F7C2FF4"/>
    <w:multiLevelType w:val="hybridMultilevel"/>
    <w:lvl w:ilvl="0">
      <w:lvlJc w:val="left"/>
      <w:lvlText w:val="•"/>
      <w:numFmt w:val="bullet"/>
      <w:start w:val="1"/>
    </w:lvl>
  </w:abstractNum>
  <w:abstractNum w:abstractNumId="89">
    <w:nsid w:val="25413BEC"/>
    <w:multiLevelType w:val="hybridMultilevel"/>
    <w:lvl w:ilvl="0">
      <w:lvlJc w:val="left"/>
      <w:lvlText w:val="•"/>
      <w:numFmt w:val="bullet"/>
      <w:start w:val="1"/>
    </w:lvl>
  </w:abstractNum>
  <w:abstractNum w:abstractNumId="90">
    <w:nsid w:val="17180B0B"/>
    <w:multiLevelType w:val="hybridMultilevel"/>
    <w:lvl w:ilvl="0">
      <w:lvlJc w:val="left"/>
      <w:lvlText w:val="•"/>
      <w:numFmt w:val="bullet"/>
      <w:start w:val="1"/>
    </w:lvl>
  </w:abstractNum>
  <w:abstractNum w:abstractNumId="91">
    <w:nsid w:val="579328B9"/>
    <w:multiLevelType w:val="hybridMultilevel"/>
    <w:lvl w:ilvl="0">
      <w:lvlJc w:val="left"/>
      <w:lvlText w:val="•"/>
      <w:numFmt w:val="bullet"/>
      <w:start w:val="1"/>
    </w:lvl>
  </w:abstractNum>
  <w:abstractNum w:abstractNumId="92">
    <w:nsid w:val="5D205E20"/>
    <w:multiLevelType w:val="hybridMultilevel"/>
    <w:lvl w:ilvl="0">
      <w:lvlJc w:val="left"/>
      <w:lvlText w:val="•"/>
      <w:numFmt w:val="bullet"/>
      <w:start w:val="1"/>
    </w:lvl>
  </w:abstractNum>
  <w:abstractNum w:abstractNumId="93">
    <w:nsid w:val="11CCA8BA"/>
    <w:multiLevelType w:val="hybridMultilevel"/>
    <w:lvl w:ilvl="0">
      <w:lvlJc w:val="left"/>
      <w:lvlText w:val="•"/>
      <w:numFmt w:val="bullet"/>
      <w:start w:val="1"/>
    </w:lvl>
  </w:abstractNum>
  <w:abstractNum w:abstractNumId="94">
    <w:nsid w:val="4D32AB86"/>
    <w:multiLevelType w:val="hybridMultilevel"/>
    <w:lvl w:ilvl="0">
      <w:lvlJc w:val="left"/>
      <w:lvlText w:val="•"/>
      <w:numFmt w:val="bullet"/>
      <w:start w:val="1"/>
    </w:lvl>
  </w:abstractNum>
  <w:abstractNum w:abstractNumId="95">
    <w:nsid w:val="3F07ACC3"/>
    <w:multiLevelType w:val="hybridMultilevel"/>
    <w:lvl w:ilvl="0">
      <w:lvlJc w:val="left"/>
      <w:lvlText w:val="•"/>
      <w:numFmt w:val="bullet"/>
      <w:start w:val="1"/>
    </w:lvl>
  </w:abstractNum>
  <w:abstractNum w:abstractNumId="96">
    <w:nsid w:val="6B47F63E"/>
    <w:multiLevelType w:val="hybridMultilevel"/>
    <w:lvl w:ilvl="0">
      <w:lvlJc w:val="left"/>
      <w:lvlText w:val="•"/>
      <w:numFmt w:val="bullet"/>
      <w:start w:val="1"/>
    </w:lvl>
  </w:abstractNum>
  <w:abstractNum w:abstractNumId="97">
    <w:nsid w:val="5CB44A05"/>
    <w:multiLevelType w:val="hybridMultilevel"/>
    <w:lvl w:ilvl="0">
      <w:lvlJc w:val="left"/>
      <w:lvlText w:val="•"/>
      <w:numFmt w:val="bullet"/>
      <w:start w:val="1"/>
    </w:lvl>
    <w:lvl w:ilvl="1">
      <w:lvlJc w:val="left"/>
      <w:lvlText w:val="(%2)"/>
      <w:numFmt w:val="lowerRoman"/>
      <w:start w:val="1"/>
    </w:lvl>
  </w:abstractNum>
  <w:abstractNum w:abstractNumId="98">
    <w:nsid w:val="16CF80F1"/>
    <w:multiLevelType w:val="hybridMultilevel"/>
    <w:lvl w:ilvl="0">
      <w:lvlJc w:val="left"/>
      <w:lvlText w:val="•"/>
      <w:numFmt w:val="bullet"/>
      <w:start w:val="1"/>
    </w:lvl>
  </w:abstractNum>
  <w:abstractNum w:abstractNumId="99">
    <w:nsid w:val="1C695DEC"/>
    <w:multiLevelType w:val="hybridMultilevel"/>
    <w:lvl w:ilvl="0">
      <w:lvlJc w:val="left"/>
      <w:lvlText w:val="•"/>
      <w:numFmt w:val="bullet"/>
      <w:start w:val="1"/>
    </w:lvl>
  </w:abstractNum>
  <w:abstractNum w:abstractNumId="100">
    <w:nsid w:val="3FCFAED9"/>
    <w:multiLevelType w:val="hybridMultilevel"/>
    <w:lvl w:ilvl="0">
      <w:lvlJc w:val="left"/>
      <w:lvlText w:val="(%1)"/>
      <w:numFmt w:val="decimal"/>
      <w:start w:val="1"/>
    </w:lvl>
  </w:abstractNum>
  <w:abstractNum w:abstractNumId="101">
    <w:nsid w:val="F856867"/>
    <w:multiLevelType w:val="hybridMultilevel"/>
    <w:lvl w:ilvl="0">
      <w:lvlJc w:val="left"/>
      <w:lvlText w:val="(%1)"/>
      <w:numFmt w:val="lowerLetter"/>
      <w:start w:val="1"/>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Roman"/>
      <w:start w:val="2"/>
    </w:lvl>
  </w:abstractNum>
  <w:abstractNum w:abstractNumId="104">
    <w:nsid w:val="29934699"/>
    <w:multiLevelType w:val="hybridMultilevel"/>
    <w:lvl w:ilvl="0">
      <w:lvlJc w:val="left"/>
      <w:lvlText w:val="•"/>
      <w:numFmt w:val="bullet"/>
      <w:start w:val="1"/>
    </w:lvl>
  </w:abstractNum>
  <w:abstractNum w:abstractNumId="105">
    <w:nsid w:val="77485850"/>
    <w:multiLevelType w:val="hybridMultilevel"/>
    <w:lvl w:ilvl="0">
      <w:lvlJc w:val="left"/>
      <w:lvlText w:val="•"/>
      <w:numFmt w:val="bullet"/>
      <w:start w:val="1"/>
    </w:lvl>
  </w:abstractNum>
  <w:abstractNum w:abstractNumId="106">
    <w:nsid w:val="744939A3"/>
    <w:multiLevelType w:val="hybridMultilevel"/>
    <w:lvl w:ilvl="0">
      <w:lvlJc w:val="left"/>
      <w:lvlText w:val="•"/>
      <w:numFmt w:val="bullet"/>
      <w:start w:val="1"/>
    </w:lvl>
  </w:abstractNum>
  <w:abstractNum w:abstractNumId="107">
    <w:nsid w:val="4FA0D2E3"/>
    <w:multiLevelType w:val="hybridMultilevel"/>
    <w:lvl w:ilvl="0">
      <w:lvlJc w:val="left"/>
      <w:lvlText w:val="(%1)"/>
      <w:numFmt w:val="lowerLetter"/>
      <w:start w:val="1"/>
    </w:lvl>
  </w:abstractNum>
  <w:abstractNum w:abstractNumId="108">
    <w:nsid w:val="6B1D2C14"/>
    <w:multiLevelType w:val="hybridMultilevel"/>
    <w:lvl w:ilvl="0">
      <w:lvlJc w:val="left"/>
      <w:lvlText w:val="(%1)"/>
      <w:numFmt w:val="lowerLetter"/>
      <w:start w:val="1"/>
    </w:lvl>
  </w:abstractNum>
  <w:abstractNum w:abstractNumId="109">
    <w:nsid w:val="68B867D3"/>
    <w:multiLevelType w:val="hybridMultilevel"/>
    <w:lvl w:ilvl="0">
      <w:lvlJc w:val="left"/>
      <w:lvlText w:val="(%1)"/>
      <w:numFmt w:val="lowerLetter"/>
      <w:start w:val="2"/>
    </w:lvl>
  </w:abstractNum>
  <w:abstractNum w:abstractNumId="110">
    <w:nsid w:val="3F7F5DD9"/>
    <w:multiLevelType w:val="hybridMultilevel"/>
    <w:lvl w:ilvl="0">
      <w:lvlJc w:val="left"/>
      <w:lvlText w:val="(%1)"/>
      <w:numFmt w:val="lowerRoman"/>
      <w:start w:val="1"/>
    </w:lvl>
  </w:abstractNum>
  <w:abstractNum w:abstractNumId="111">
    <w:nsid w:val="2AE05A34"/>
    <w:multiLevelType w:val="hybridMultilevel"/>
    <w:lvl w:ilvl="0">
      <w:lvlJc w:val="left"/>
      <w:lvlText w:val="%1."/>
      <w:numFmt w:val="decimal"/>
      <w:start w:val="1"/>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
      <w:numFmt w:val="bullet"/>
      <w:start w:val="1"/>
    </w:lvl>
  </w:abstractNum>
  <w:abstractNum w:abstractNumId="114">
    <w:nsid w:val="4DEFDFA0"/>
    <w:multiLevelType w:val="hybridMultilevel"/>
    <w:lvl w:ilvl="0">
      <w:lvlJc w:val="left"/>
      <w:lvlText w:val="(%1)"/>
      <w:numFmt w:val="lowerLetter"/>
      <w:start w:val="1"/>
    </w:lvl>
  </w:abstractNum>
  <w:abstractNum w:abstractNumId="115">
    <w:nsid w:val="2123D5F2"/>
    <w:multiLevelType w:val="hybridMultilevel"/>
    <w:lvl w:ilvl="0">
      <w:lvlJc w:val="left"/>
      <w:lvlText w:val="(%1)"/>
      <w:numFmt w:val="lowerLetter"/>
      <w:start w:val="1"/>
    </w:lvl>
  </w:abstractNum>
  <w:abstractNum w:abstractNumId="116">
    <w:nsid w:val="135B8110"/>
    <w:multiLevelType w:val="hybridMultilevel"/>
    <w:lvl w:ilvl="0">
      <w:lvlJc w:val="left"/>
      <w:lvlText w:val="*"/>
      <w:numFmt w:val="bullet"/>
      <w:start w:val="1"/>
    </w:lvl>
  </w:abstractNum>
  <w:abstractNum w:abstractNumId="117">
    <w:nsid w:val="94927A8"/>
    <w:multiLevelType w:val="hybridMultilevel"/>
    <w:lvl w:ilvl="0">
      <w:lvlJc w:val="left"/>
      <w:lvlText w:val="(%1)"/>
      <w:numFmt w:val="lowerLetter"/>
      <w:start w:val="3"/>
    </w:lvl>
    <w:lvl w:ilvl="1">
      <w:lvlJc w:val="left"/>
      <w:lvlText w:val="(%2)"/>
      <w:numFmt w:val="decimal"/>
      <w:start w:val="1"/>
    </w:lvl>
  </w:abstractNum>
  <w:abstractNum w:abstractNumId="118">
    <w:nsid w:val="DCDF8F6"/>
    <w:multiLevelType w:val="hybridMultilevel"/>
    <w:lvl w:ilvl="0">
      <w:lvlJc w:val="left"/>
      <w:lvlText w:val="(%1)"/>
      <w:numFmt w:val="decimal"/>
      <w:start w:val="2"/>
    </w:lvl>
    <w:lvl w:ilvl="1">
      <w:lvlJc w:val="left"/>
      <w:lvlText w:val="•"/>
      <w:numFmt w:val="bullet"/>
      <w:start w:val="1"/>
    </w:lvl>
  </w:abstractNum>
  <w:abstractNum w:abstractNumId="119">
    <w:nsid w:val="52D7B105"/>
    <w:multiLevelType w:val="hybridMultilevel"/>
    <w:lvl w:ilvl="0">
      <w:lvlJc w:val="left"/>
      <w:lvlText w:val="•"/>
      <w:numFmt w:val="bullet"/>
      <w:start w:val="1"/>
    </w:lvl>
  </w:abstractNum>
  <w:abstractNum w:abstractNumId="120">
    <w:nsid w:val="2E8A6394"/>
    <w:multiLevelType w:val="hybridMultilevel"/>
    <w:lvl w:ilvl="0">
      <w:lvlJc w:val="left"/>
      <w:lvlText w:val="%1."/>
      <w:numFmt w:val="decimal"/>
      <w:start w:val="2"/>
    </w:lvl>
  </w:abstractNum>
  <w:abstractNum w:abstractNumId="121">
    <w:nsid w:val="24E60401"/>
    <w:multiLevelType w:val="hybridMultilevel"/>
    <w:lvl w:ilvl="0">
      <w:lvlJc w:val="left"/>
      <w:lvlText w:val="(%1)"/>
      <w:numFmt w:val="lowerLetter"/>
      <w:start w:val="1"/>
    </w:lvl>
  </w:abstractNum>
  <w:abstractNum w:abstractNumId="122">
    <w:nsid w:val="2A6AD9BE"/>
    <w:multiLevelType w:val="hybridMultilevel"/>
    <w:lvl w:ilvl="0">
      <w:lvlJc w:val="left"/>
      <w:lvlText w:val="(%1)"/>
      <w:numFmt w:val="lowerLetter"/>
      <w:start w:val="3"/>
    </w:lvl>
  </w:abstractNum>
  <w:abstractNum w:abstractNumId="123">
    <w:nsid w:val="BAAC1B4"/>
    <w:multiLevelType w:val="hybridMultilevel"/>
    <w:lvl w:ilvl="0">
      <w:lvlJc w:val="left"/>
      <w:lvlText w:val="(%1)"/>
      <w:numFmt w:val="lowerLetter"/>
      <w:start w:val="5"/>
    </w:lvl>
  </w:abstractNum>
  <w:abstractNum w:abstractNumId="124">
    <w:nsid w:val="36B2ACBC"/>
    <w:multiLevelType w:val="hybridMultilevel"/>
    <w:lvl w:ilvl="0">
      <w:lvlJc w:val="left"/>
      <w:lvlText w:val="•"/>
      <w:numFmt w:val="bullet"/>
      <w:start w:val="1"/>
    </w:lvl>
  </w:abstractNum>
  <w:abstractNum w:abstractNumId="125">
    <w:nsid w:val="779D8544"/>
    <w:multiLevelType w:val="hybridMultilevel"/>
    <w:lvl w:ilvl="0">
      <w:lvlJc w:val="left"/>
      <w:lvlText w:val="(%1)"/>
      <w:numFmt w:val="lowerLetter"/>
      <w:start w:val="9"/>
    </w:lvl>
  </w:abstractNum>
  <w:abstractNum w:abstractNumId="126">
    <w:nsid w:val="4AB26E78"/>
    <w:multiLevelType w:val="hybridMultilevel"/>
    <w:lvl w:ilvl="0">
      <w:lvlJc w:val="left"/>
      <w:lvlText w:val="(%1)"/>
      <w:numFmt w:val="lowerLetter"/>
      <w:start w:val="11"/>
    </w:lvl>
  </w:abstractNum>
  <w:abstractNum w:abstractNumId="127">
    <w:nsid w:val="21FAA2FA"/>
    <w:multiLevelType w:val="hybridMultilevel"/>
    <w:lvl w:ilvl="0">
      <w:lvlJc w:val="left"/>
      <w:lvlText w:val="(%1)"/>
      <w:numFmt w:val="lowerLetter"/>
      <w:start w:val="12"/>
    </w:lvl>
  </w:abstractNum>
  <w:abstractNum w:abstractNumId="128">
    <w:nsid w:val="5451CF49"/>
    <w:multiLevelType w:val="hybridMultilevel"/>
    <w:lvl w:ilvl="0">
      <w:lvlJc w:val="left"/>
      <w:lvlText w:val="(%1)"/>
      <w:numFmt w:val="lowerLetter"/>
      <w:start w:val="14"/>
    </w:lvl>
  </w:abstractNum>
  <w:abstractNum w:abstractNumId="129">
    <w:nsid w:val="6181EF69"/>
    <w:multiLevelType w:val="hybridMultilevel"/>
    <w:lvl w:ilvl="0">
      <w:lvlJc w:val="left"/>
      <w:lvlText w:val="(%1)"/>
      <w:numFmt w:val="lowerLetter"/>
      <w:start w:val="15"/>
    </w:lvl>
  </w:abstractNum>
  <w:abstractNum w:abstractNumId="130">
    <w:nsid w:val="3E6400E6"/>
    <w:multiLevelType w:val="hybridMultilevel"/>
    <w:lvl w:ilvl="0">
      <w:lvlJc w:val="left"/>
      <w:lvlText w:val="(%1)"/>
      <w:numFmt w:val="lowerLetter"/>
      <w:start w:val="17"/>
    </w:lvl>
  </w:abstractNum>
  <w:abstractNum w:abstractNumId="131">
    <w:nsid w:val="14217E23"/>
    <w:multiLevelType w:val="hybridMultilevel"/>
    <w:lvl w:ilvl="0">
      <w:lvlJc w:val="left"/>
      <w:lvlText w:val="(%1)"/>
      <w:numFmt w:val="lowerRoman"/>
      <w:start w:val="1"/>
    </w:lvl>
  </w:abstractNum>
  <w:abstractNum w:abstractNumId="132">
    <w:nsid w:val="710757D0"/>
    <w:multiLevelType w:val="hybridMultilevel"/>
    <w:lvl w:ilvl="0">
      <w:lvlJc w:val="left"/>
      <w:lvlText w:val="(%1)"/>
      <w:numFmt w:val="lowerRoman"/>
      <w:start w:val="2"/>
    </w:lvl>
  </w:abstractNum>
  <w:abstractNum w:abstractNumId="133">
    <w:nsid w:val="5015CD1A"/>
    <w:multiLevelType w:val="hybridMultilevel"/>
    <w:lvl w:ilvl="0">
      <w:lvlJc w:val="left"/>
      <w:lvlText w:val="(%1)"/>
      <w:numFmt w:val="lowerRoman"/>
      <w:start w:val="1"/>
    </w:lvl>
  </w:abstractNum>
  <w:abstractNum w:abstractNumId="134">
    <w:nsid w:val="424479DA"/>
    <w:multiLevelType w:val="hybridMultilevel"/>
    <w:lvl w:ilvl="0">
      <w:lvlJc w:val="left"/>
      <w:lvlText w:val="(%1)"/>
      <w:numFmt w:val="lowerLetter"/>
      <w:start w:val="18"/>
    </w:lvl>
  </w:abstractNum>
  <w:abstractNum w:abstractNumId="135">
    <w:nsid w:val="1A9A9E69"/>
    <w:multiLevelType w:val="hybridMultilevel"/>
    <w:lvl w:ilvl="0">
      <w:lvlJc w:val="left"/>
      <w:lvlText w:val="(%1)"/>
      <w:numFmt w:val="lowerLetter"/>
      <w:start w:val="22"/>
    </w:lvl>
  </w:abstractNum>
  <w:abstractNum w:abstractNumId="136">
    <w:nsid w:val="475E256A"/>
    <w:multiLevelType w:val="hybridMultilevel"/>
    <w:lvl w:ilvl="0">
      <w:lvlJc w:val="left"/>
      <w:lvlText w:val="(%1)"/>
      <w:numFmt w:val="lowerLetter"/>
      <w:start w:val="24"/>
    </w:lvl>
  </w:abstractNum>
  <w:abstractNum w:abstractNumId="137">
    <w:nsid w:val="368DB37E"/>
    <w:multiLevelType w:val="hybridMultilevel"/>
    <w:lvl w:ilvl="0">
      <w:lvlJc w:val="left"/>
      <w:lvlText w:val="(%1)"/>
      <w:numFmt w:val="lowerLetter"/>
      <w:start w:val="26"/>
    </w:lvl>
  </w:abstractNum>
  <w:abstractNum w:abstractNumId="138">
    <w:nsid w:val="6A3B714C"/>
    <w:multiLevelType w:val="hybridMultilevel"/>
    <w:lvl w:ilvl="0">
      <w:lvlJc w:val="left"/>
      <w:lvlText w:val="(%1)"/>
      <w:numFmt w:val="lowerLetter"/>
      <w:start w:val="27"/>
    </w:lvl>
  </w:abstractNum>
  <w:abstractNum w:abstractNumId="139">
    <w:nsid w:val="327B517E"/>
    <w:multiLevelType w:val="hybridMultilevel"/>
    <w:lvl w:ilvl="0">
      <w:lvlJc w:val="left"/>
      <w:lvlText w:val="%1."/>
      <w:numFmt w:val="decimal"/>
      <w:start w:val="3"/>
    </w:lvl>
  </w:abstractNum>
  <w:abstractNum w:abstractNumId="140">
    <w:nsid w:val="1F461B51"/>
    <w:multiLevelType w:val="hybridMultilevel"/>
    <w:lvl w:ilvl="0">
      <w:lvlJc w:val="left"/>
      <w:lvlText w:val="*"/>
      <w:numFmt w:val="bullet"/>
      <w:start w:val="1"/>
    </w:lvl>
  </w:abstractNum>
  <w:abstractNum w:abstractNumId="141">
    <w:nsid w:val="29BACF25"/>
    <w:multiLevelType w:val="hybridMultilevel"/>
    <w:lvl w:ilvl="0">
      <w:lvlJc w:val="left"/>
      <w:lvlText w:val="**"/>
      <w:numFmt w:val="bullet"/>
      <w:start w:val="1"/>
    </w:lvl>
  </w:abstractNum>
  <w:abstractNum w:abstractNumId="142">
    <w:nsid w:val="5D5BABB3"/>
    <w:multiLevelType w:val="hybridMultilevel"/>
    <w:lvl w:ilvl="0">
      <w:lvlJc w:val="left"/>
      <w:lvlText w:val="%1."/>
      <w:numFmt w:val="decimal"/>
      <w:start w:val="4"/>
    </w:lvl>
  </w:abstractNum>
  <w:abstractNum w:abstractNumId="143">
    <w:nsid w:val="51BF6B48"/>
    <w:multiLevelType w:val="hybridMultilevel"/>
    <w:lvl w:ilvl="0">
      <w:lvlJc w:val="left"/>
      <w:lvlText w:val="%1."/>
      <w:numFmt w:val="decimal"/>
      <w:start w:val="5"/>
    </w:lvl>
  </w:abstractNum>
  <w:abstractNum w:abstractNumId="144">
    <w:nsid w:val="7E0F6384"/>
    <w:multiLevelType w:val="hybridMultilevel"/>
    <w:lvl w:ilvl="0">
      <w:lvlJc w:val="left"/>
      <w:lvlText w:val="%1"/>
      <w:numFmt w:val="decimal"/>
      <w:start w:val="1"/>
    </w:lvl>
    <w:lvl w:ilvl="1">
      <w:lvlJc w:val="left"/>
      <w:lvlText w:val="(%2)"/>
      <w:numFmt w:val="lowerRoman"/>
      <w:start w:val="1"/>
    </w:lvl>
  </w:abstractNum>
  <w:abstractNum w:abstractNumId="145">
    <w:nsid w:val="2B4B8B53"/>
    <w:multiLevelType w:val="hybridMultilevel"/>
    <w:lvl w:ilvl="0">
      <w:lvlJc w:val="left"/>
      <w:lvlText w:val="%1."/>
      <w:numFmt w:val="decimal"/>
      <w:start w:val="6"/>
    </w:lvl>
    <w:lvl w:ilvl="1">
      <w:lvlJc w:val="left"/>
      <w:lvlText w:val="%2"/>
      <w:numFmt w:val="lowerRoman"/>
      <w:start w:val="1"/>
    </w:lvl>
  </w:abstractNum>
  <w:abstractNum w:abstractNumId="146">
    <w:nsid w:val="72E3413A"/>
    <w:multiLevelType w:val="hybridMultilevel"/>
    <w:lvl w:ilvl="0">
      <w:lvlJc w:val="left"/>
      <w:lvlText w:val="%1."/>
      <w:numFmt w:val="decimal"/>
      <w:start w:val="7"/>
    </w:lvl>
  </w:abstractNum>
  <w:abstractNum w:abstractNumId="147">
    <w:nsid w:val="116AE494"/>
    <w:multiLevelType w:val="hybridMultilevel"/>
    <w:lvl w:ilvl="0">
      <w:lvlJc w:val="left"/>
      <w:lvlText w:val="%1."/>
      <w:numFmt w:val="decimal"/>
      <w:start w:val="8"/>
    </w:lvl>
  </w:abstractNum>
  <w:abstractNum w:abstractNumId="148">
    <w:nsid w:val="3494B2FB"/>
    <w:multiLevelType w:val="hybridMultilevel"/>
    <w:lvl w:ilvl="0">
      <w:lvlJc w:val="left"/>
      <w:lvlText w:val="(%1)"/>
      <w:numFmt w:val="lowerRoman"/>
      <w:start w:val="1"/>
    </w:lvl>
  </w:abstractNum>
  <w:abstractNum w:abstractNumId="149">
    <w:nsid w:val="B13A31"/>
    <w:multiLevelType w:val="hybridMultilevel"/>
    <w:lvl w:ilvl="0">
      <w:lvlJc w:val="left"/>
      <w:lvlText w:val="%1."/>
      <w:numFmt w:val="decimal"/>
      <w:start w:val="10"/>
    </w:lvl>
  </w:abstractNum>
  <w:abstractNum w:abstractNumId="150">
    <w:nsid w:val="64429599"/>
    <w:multiLevelType w:val="hybridMultilevel"/>
    <w:lvl w:ilvl="0">
      <w:lvlJc w:val="left"/>
      <w:lvlText w:val="%1."/>
      <w:numFmt w:val="decimal"/>
      <w:start w:val="11"/>
    </w:lvl>
  </w:abstractNum>
  <w:abstractNum w:abstractNumId="151">
    <w:nsid w:val="631F1690"/>
    <w:multiLevelType w:val="hybridMultilevel"/>
    <w:lvl w:ilvl="0">
      <w:lvlJc w:val="left"/>
      <w:lvlText w:val="%1."/>
      <w:numFmt w:val="decimal"/>
      <w:start w:val="12"/>
    </w:lvl>
  </w:abstractNum>
  <w:abstractNum w:abstractNumId="152">
    <w:nsid w:val="25973E32"/>
    <w:multiLevelType w:val="hybridMultilevel"/>
    <w:lvl w:ilvl="0">
      <w:lvlJc w:val="left"/>
      <w:lvlText w:val="%1."/>
      <w:numFmt w:val="decimal"/>
      <w:start w:val="14"/>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3"/>
    </w:lvl>
  </w:abstractNum>
  <w:abstractNum w:abstractNumId="155">
    <w:nsid w:val="5C49EAEE"/>
    <w:multiLevelType w:val="hybridMultilevel"/>
    <w:lvl w:ilvl="0">
      <w:lvlJc w:val="left"/>
      <w:lvlText w:val="%1"/>
      <w:numFmt w:val="decimal"/>
      <w:start w:val="15"/>
    </w:lvl>
    <w:lvl w:ilvl="1">
      <w:lvlJc w:val="left"/>
      <w:lvlText w:val="(%2)"/>
      <w:numFmt w:val="lowerRoman"/>
      <w:start w:val="1"/>
    </w:lvl>
  </w:abstractNum>
  <w:abstractNum w:abstractNumId="156">
    <w:nsid w:val="64AF49B"/>
    <w:multiLevelType w:val="hybridMultilevel"/>
    <w:lvl w:ilvl="0">
      <w:lvlJc w:val="left"/>
      <w:lvlText w:val="%1"/>
      <w:numFmt w:val="decimal"/>
      <w:start w:val="16"/>
    </w:lvl>
  </w:abstractNum>
  <w:abstractNum w:abstractNumId="157">
    <w:nsid w:val="397C46BC"/>
    <w:multiLevelType w:val="hybridMultilevel"/>
    <w:lvl w:ilvl="0">
      <w:lvlJc w:val="left"/>
      <w:lvlText w:val="(%1)"/>
      <w:numFmt w:val="lowerRoman"/>
      <w:start w:val="2"/>
    </w:lvl>
  </w:abstractNum>
  <w:abstractNum w:abstractNumId="158">
    <w:nsid w:val="7E448DE9"/>
    <w:multiLevelType w:val="hybridMultilevel"/>
    <w:lvl w:ilvl="0">
      <w:lvlJc w:val="left"/>
      <w:lvlText w:val="%1."/>
      <w:numFmt w:val="decimal"/>
      <w:start w:val="17"/>
    </w:lvl>
  </w:abstractNum>
  <w:abstractNum w:abstractNumId="159">
    <w:nsid w:val="5A9CC3E5"/>
    <w:multiLevelType w:val="hybridMultilevel"/>
    <w:lvl w:ilvl="0">
      <w:lvlJc w:val="left"/>
      <w:lvlText w:val="(%1)"/>
      <w:numFmt w:val="lowerRoman"/>
      <w:start w:val="1"/>
    </w:lvl>
  </w:abstractNum>
  <w:abstractNum w:abstractNumId="160">
    <w:nsid w:val="1AFE3625"/>
    <w:multiLevelType w:val="hybridMultilevel"/>
    <w:lvl w:ilvl="0">
      <w:lvlJc w:val="left"/>
      <w:lvlText w:val="%1"/>
      <w:numFmt w:val="decimal"/>
      <w:start w:val="1"/>
    </w:lvl>
    <w:lvl w:ilvl="1">
      <w:lvlJc w:val="left"/>
      <w:lvlText w:val="(%2)"/>
      <w:numFmt w:val="lowerRoman"/>
      <w:start w:val="3"/>
    </w:lvl>
  </w:abstractNum>
  <w:abstractNum w:abstractNumId="161">
    <w:nsid w:val="3CA88ECF"/>
    <w:multiLevelType w:val="hybridMultilevel"/>
    <w:lvl w:ilvl="0">
      <w:lvlJc w:val="left"/>
      <w:lvlText w:val="%1."/>
      <w:numFmt w:val="decimal"/>
      <w:start w:val="18"/>
    </w:lvl>
    <w:lvl w:ilvl="1">
      <w:lvlJc w:val="left"/>
      <w:lvlText w:val="%2"/>
      <w:numFmt w:val="lowerRoman"/>
      <w:start w:val="1"/>
    </w:lvl>
  </w:abstractNum>
  <w:abstractNum w:abstractNumId="162">
    <w:nsid w:val="6EBE4208"/>
    <w:multiLevelType w:val="hybridMultilevel"/>
    <w:lvl w:ilvl="0">
      <w:lvlJc w:val="left"/>
      <w:lvlText w:val="(%1)"/>
      <w:numFmt w:val="lowerLetter"/>
      <w:start w:val="1"/>
    </w:lvl>
  </w:abstractNum>
  <w:abstractNum w:abstractNumId="163">
    <w:nsid w:val="C058DF5"/>
    <w:multiLevelType w:val="hybridMultilevel"/>
    <w:lvl w:ilvl="0">
      <w:lvlJc w:val="left"/>
      <w:lvlText w:val="(%1)"/>
      <w:numFmt w:val="lowerLetter"/>
      <w:start w:val="2"/>
    </w:lvl>
  </w:abstractNum>
  <w:abstractNum w:abstractNumId="164">
    <w:nsid w:val="CBE5BE9"/>
    <w:multiLevelType w:val="hybridMultilevel"/>
    <w:lvl w:ilvl="0">
      <w:lvlJc w:val="left"/>
      <w:lvlText w:val="(%1)"/>
      <w:numFmt w:val="decimal"/>
      <w:start w:val="1"/>
    </w:lvl>
  </w:abstractNum>
  <w:abstractNum w:abstractNumId="165">
    <w:nsid w:val="3102BBE2"/>
    <w:multiLevelType w:val="hybridMultilevel"/>
    <w:lvl w:ilvl="0">
      <w:lvlJc w:val="left"/>
      <w:lvlText w:val="%1."/>
      <w:numFmt w:val="decimal"/>
      <w:start w:val="19"/>
    </w:lvl>
  </w:abstractNum>
  <w:abstractNum w:abstractNumId="166">
    <w:nsid w:val="26A02C5E"/>
    <w:multiLevelType w:val="hybridMultilevel"/>
    <w:lvl w:ilvl="0">
      <w:lvlJc w:val="left"/>
      <w:lvlText w:val="%1."/>
      <w:numFmt w:val="decimal"/>
      <w:start w:val="21"/>
    </w:lvl>
  </w:abstractNum>
  <w:abstractNum w:abstractNumId="167">
    <w:nsid w:val="541C8153"/>
    <w:multiLevelType w:val="hybridMultilevel"/>
    <w:lvl w:ilvl="0">
      <w:lvlJc w:val="left"/>
      <w:lvlText w:val="%1."/>
      <w:numFmt w:val="decimal"/>
      <w:start w:val="1"/>
    </w:lvl>
  </w:abstractNum>
  <w:abstractNum w:abstractNumId="168">
    <w:nsid w:val="67906F60"/>
    <w:multiLevelType w:val="hybridMultilevel"/>
    <w:lvl w:ilvl="0">
      <w:lvlJc w:val="left"/>
      <w:lvlText w:val="(%1)"/>
      <w:numFmt w:val="lowerLetter"/>
      <w:start w:val="1"/>
    </w:lvl>
  </w:abstractNum>
  <w:abstractNum w:abstractNumId="169">
    <w:nsid w:val="10DB9DAA"/>
    <w:multiLevelType w:val="hybridMultilevel"/>
    <w:lvl w:ilvl="0">
      <w:lvlJc w:val="left"/>
      <w:lvlText w:val="*"/>
      <w:numFmt w:val="bullet"/>
      <w:start w:val="1"/>
    </w:lvl>
  </w:abstractNum>
  <w:abstractNum w:abstractNumId="170">
    <w:nsid w:val="697D2D2"/>
    <w:multiLevelType w:val="hybridMultilevel"/>
    <w:lvl w:ilvl="0">
      <w:lvlJc w:val="left"/>
      <w:lvlText w:val="(%1)"/>
      <w:numFmt w:val="lowerLetter"/>
      <w:start w:val="1"/>
    </w:lvl>
  </w:abstractNum>
  <w:abstractNum w:abstractNumId="171">
    <w:nsid w:val="6D68AB2"/>
    <w:multiLevelType w:val="hybridMultilevel"/>
    <w:lvl w:ilvl="0">
      <w:lvlJc w:val="left"/>
      <w:lvlText w:val="(%1)"/>
      <w:numFmt w:val="lowerLetter"/>
      <w:start w:val="1"/>
    </w:lvl>
  </w:abstractNum>
  <w:abstractNum w:abstractNumId="172">
    <w:nsid w:val="3A966CD0"/>
    <w:multiLevelType w:val="hybridMultilevel"/>
    <w:lvl w:ilvl="0">
      <w:lvlJc w:val="left"/>
      <w:lvlText w:val="*"/>
      <w:numFmt w:val="bullet"/>
      <w:start w:val="1"/>
    </w:lvl>
  </w:abstractNum>
  <w:abstractNum w:abstractNumId="173">
    <w:nsid w:val="63F37E85"/>
    <w:multiLevelType w:val="hybridMultilevel"/>
    <w:lvl w:ilvl="0">
      <w:lvlJc w:val="left"/>
      <w:lvlText w:val="(%1)"/>
      <w:numFmt w:val="lowerLetter"/>
      <w:start w:val="3"/>
    </w:lvl>
    <w:lvl w:ilvl="1">
      <w:lvlJc w:val="left"/>
      <w:lvlText w:val="(%2)"/>
      <w:numFmt w:val="decimal"/>
      <w:start w:val="1"/>
    </w:lvl>
  </w:abstractNum>
  <w:abstractNum w:abstractNumId="174">
    <w:nsid w:val="5895F5FA"/>
    <w:multiLevelType w:val="hybridMultilevel"/>
    <w:lvl w:ilvl="0">
      <w:lvlJc w:val="left"/>
      <w:lvlText w:val="(%1)"/>
      <w:numFmt w:val="decimal"/>
      <w:start w:val="2"/>
    </w:lvl>
    <w:lvl w:ilvl="1">
      <w:lvlJc w:val="left"/>
      <w:lvlText w:val="•"/>
      <w:numFmt w:val="bullet"/>
      <w:start w:val="1"/>
    </w:lvl>
  </w:abstractNum>
  <w:abstractNum w:abstractNumId="175">
    <w:nsid w:val="38A5D054"/>
    <w:multiLevelType w:val="hybridMultilevel"/>
    <w:lvl w:ilvl="0">
      <w:lvlJc w:val="left"/>
      <w:lvlText w:val="*"/>
      <w:numFmt w:val="bullet"/>
      <w:start w:val="1"/>
    </w:lvl>
  </w:abstractNum>
  <w:abstractNum w:abstractNumId="176">
    <w:nsid w:val="F3F09D8"/>
    <w:multiLevelType w:val="hybridMultilevel"/>
    <w:lvl w:ilvl="0">
      <w:lvlJc w:val="left"/>
      <w:lvlText w:val="%1."/>
      <w:numFmt w:val="decimal"/>
      <w:start w:val="2"/>
    </w:lvl>
  </w:abstractNum>
  <w:abstractNum w:abstractNumId="177">
    <w:nsid w:val="4B793735"/>
    <w:multiLevelType w:val="hybridMultilevel"/>
    <w:lvl w:ilvl="0">
      <w:lvlJc w:val="left"/>
      <w:lvlText w:val="(%1)"/>
      <w:numFmt w:val="lowerLetter"/>
      <w:start w:val="1"/>
    </w:lvl>
  </w:abstractNum>
  <w:abstractNum w:abstractNumId="178">
    <w:nsid w:val="4A10B4E8"/>
    <w:multiLevelType w:val="hybridMultilevel"/>
    <w:lvl w:ilvl="0">
      <w:lvlJc w:val="left"/>
      <w:lvlText w:val="(%1)"/>
      <w:numFmt w:val="lowerLetter"/>
      <w:start w:val="2"/>
    </w:lvl>
  </w:abstractNum>
  <w:abstractNum w:abstractNumId="179">
    <w:nsid w:val="43D3BCD4"/>
    <w:multiLevelType w:val="hybridMultilevel"/>
    <w:lvl w:ilvl="0">
      <w:lvlJc w:val="left"/>
      <w:lvlText w:val="(%1)"/>
      <w:numFmt w:val="lowerLetter"/>
      <w:start w:val="5"/>
    </w:lvl>
  </w:abstractNum>
  <w:abstractNum w:abstractNumId="180">
    <w:nsid w:val="4C2A7166"/>
    <w:multiLevelType w:val="hybridMultilevel"/>
    <w:lvl w:ilvl="0">
      <w:lvlJc w:val="left"/>
      <w:lvlText w:val="(%1)"/>
      <w:numFmt w:val="lowerLetter"/>
      <w:start w:val="8"/>
    </w:lvl>
    <w:lvl w:ilvl="1">
      <w:lvlJc w:val="left"/>
      <w:lvlText w:val="•"/>
      <w:numFmt w:val="bullet"/>
      <w:start w:val="1"/>
    </w:lvl>
  </w:abstractNum>
  <w:abstractNum w:abstractNumId="181">
    <w:nsid w:val="2E534A82"/>
    <w:multiLevelType w:val="hybridMultilevel"/>
    <w:lvl w:ilvl="0">
      <w:lvlJc w:val="left"/>
      <w:lvlText w:val="(%1)"/>
      <w:numFmt w:val="lowerRoman"/>
      <w:start w:val="1"/>
    </w:lvl>
  </w:abstractNum>
  <w:abstractNum w:abstractNumId="182">
    <w:nsid w:val="26F2D364"/>
    <w:multiLevelType w:val="hybridMultilevel"/>
    <w:lvl w:ilvl="0">
      <w:lvlJc w:val="left"/>
      <w:lvlText w:val="(%1)"/>
      <w:numFmt w:val="lowerLetter"/>
      <w:start w:val="10"/>
    </w:lvl>
  </w:abstractNum>
  <w:abstractNum w:abstractNumId="183">
    <w:nsid w:val="71C1AF98"/>
    <w:multiLevelType w:val="hybridMultilevel"/>
    <w:lvl w:ilvl="0">
      <w:lvlJc w:val="left"/>
      <w:lvlText w:val="(%1)"/>
      <w:numFmt w:val="lowerLetter"/>
      <w:start w:val="12"/>
    </w:lvl>
  </w:abstractNum>
  <w:abstractNum w:abstractNumId="184">
    <w:nsid w:val="3D00B9D9"/>
    <w:multiLevelType w:val="hybridMultilevel"/>
    <w:lvl w:ilvl="0">
      <w:lvlJc w:val="left"/>
      <w:lvlText w:val="(%1)"/>
      <w:numFmt w:val="lowerLetter"/>
      <w:start w:val="13"/>
    </w:lvl>
  </w:abstractNum>
  <w:abstractNum w:abstractNumId="185">
    <w:nsid w:val="15BCABA8"/>
    <w:multiLevelType w:val="hybridMultilevel"/>
    <w:lvl w:ilvl="0">
      <w:lvlJc w:val="left"/>
      <w:lvlText w:val="(%1)"/>
      <w:numFmt w:val="lowerLetter"/>
      <w:start w:val="14"/>
    </w:lvl>
  </w:abstractNum>
  <w:abstractNum w:abstractNumId="186">
    <w:nsid w:val="4E0B9A87"/>
    <w:multiLevelType w:val="hybridMultilevel"/>
    <w:lvl w:ilvl="0">
      <w:lvlJc w:val="left"/>
      <w:lvlText w:val="(%1)"/>
      <w:numFmt w:val="lowerLetter"/>
      <w:start w:val="16"/>
    </w:lvl>
  </w:abstractNum>
  <w:abstractNum w:abstractNumId="187">
    <w:nsid w:val="434BAE75"/>
    <w:multiLevelType w:val="hybridMultilevel"/>
    <w:lvl w:ilvl="0">
      <w:lvlJc w:val="left"/>
      <w:lvlText w:val="(%1)"/>
      <w:numFmt w:val="lowerRoman"/>
      <w:start w:val="1"/>
    </w:lvl>
  </w:abstractNum>
  <w:abstractNum w:abstractNumId="188">
    <w:nsid w:val="4F38F265"/>
    <w:multiLevelType w:val="hybridMultilevel"/>
    <w:lvl w:ilvl="0">
      <w:lvlJc w:val="left"/>
      <w:lvlText w:val="(%1)"/>
      <w:numFmt w:val="lowerRoman"/>
      <w:start w:val="2"/>
    </w:lvl>
  </w:abstractNum>
  <w:abstractNum w:abstractNumId="189">
    <w:nsid w:val="4C502870"/>
    <w:multiLevelType w:val="hybridMultilevel"/>
    <w:lvl w:ilvl="0">
      <w:lvlJc w:val="left"/>
      <w:lvlText w:val="(%1)"/>
      <w:numFmt w:val="lowerRoman"/>
      <w:start w:val="3"/>
    </w:lvl>
  </w:abstractNum>
  <w:abstractNum w:abstractNumId="190">
    <w:nsid w:val="1DE8725A"/>
    <w:multiLevelType w:val="hybridMultilevel"/>
    <w:lvl w:ilvl="0">
      <w:lvlJc w:val="left"/>
      <w:lvlText w:val="(%1)"/>
      <w:numFmt w:val="lowerRoman"/>
      <w:start w:val="1"/>
    </w:lvl>
  </w:abstractNum>
  <w:abstractNum w:abstractNumId="191">
    <w:nsid w:val="6A37288A"/>
    <w:multiLevelType w:val="hybridMultilevel"/>
    <w:lvl w:ilvl="0">
      <w:lvlJc w:val="left"/>
      <w:lvlText w:val="(%1)"/>
      <w:numFmt w:val="lowerLetter"/>
      <w:start w:val="17"/>
    </w:lvl>
  </w:abstractNum>
  <w:abstractNum w:abstractNumId="192">
    <w:nsid w:val="8F8B73F"/>
    <w:multiLevelType w:val="hybridMultilevel"/>
    <w:lvl w:ilvl="0">
      <w:lvlJc w:val="left"/>
      <w:lvlText w:val="(%1)"/>
      <w:numFmt w:val="lowerLetter"/>
      <w:start w:val="20"/>
    </w:lvl>
  </w:abstractNum>
  <w:abstractNum w:abstractNumId="193">
    <w:nsid w:val="CA6B462"/>
    <w:multiLevelType w:val="hybridMultilevel"/>
    <w:lvl w:ilvl="0">
      <w:lvlJc w:val="left"/>
      <w:lvlText w:val="(%1)"/>
      <w:numFmt w:val="lowerLetter"/>
      <w:start w:val="23"/>
    </w:lvl>
  </w:abstractNum>
  <w:abstractNum w:abstractNumId="194">
    <w:nsid w:val="763CB680"/>
    <w:multiLevelType w:val="hybridMultilevel"/>
    <w:lvl w:ilvl="0">
      <w:lvlJc w:val="left"/>
      <w:lvlText w:val="(%1)"/>
      <w:numFmt w:val="lowerLetter"/>
      <w:start w:val="27"/>
    </w:lvl>
  </w:abstractNum>
  <w:abstractNum w:abstractNumId="195">
    <w:nsid w:val="15B71329"/>
    <w:multiLevelType w:val="hybridMultilevel"/>
    <w:lvl w:ilvl="0">
      <w:lvlJc w:val="left"/>
      <w:lvlText w:val="%1."/>
      <w:numFmt w:val="decimal"/>
      <w:start w:val="3"/>
    </w:lvl>
  </w:abstractNum>
  <w:abstractNum w:abstractNumId="196">
    <w:nsid w:val="3DA97044"/>
    <w:multiLevelType w:val="hybridMultilevel"/>
    <w:lvl w:ilvl="0">
      <w:lvlJc w:val="left"/>
      <w:lvlText w:val="*"/>
      <w:numFmt w:val="bullet"/>
      <w:start w:val="1"/>
    </w:lvl>
  </w:abstractNum>
  <w:abstractNum w:abstractNumId="197">
    <w:nsid w:val="1CDCE2DE"/>
    <w:multiLevelType w:val="hybridMultilevel"/>
    <w:lvl w:ilvl="0">
      <w:lvlJc w:val="left"/>
      <w:lvlText w:val="%1."/>
      <w:numFmt w:val="decimal"/>
      <w:start w:val="4"/>
    </w:lvl>
  </w:abstractNum>
  <w:abstractNum w:abstractNumId="198">
    <w:nsid w:val="69D3947C"/>
    <w:multiLevelType w:val="hybridMultilevel"/>
    <w:lvl w:ilvl="0">
      <w:lvlJc w:val="left"/>
      <w:lvlText w:val="%1."/>
      <w:numFmt w:val="decimal"/>
      <w:start w:val="5"/>
    </w:lvl>
  </w:abstractNum>
  <w:abstractNum w:abstractNumId="199">
    <w:nsid w:val="2539DFA5"/>
    <w:multiLevelType w:val="hybridMultilevel"/>
    <w:lvl w:ilvl="0">
      <w:lvlJc w:val="left"/>
      <w:lvlText w:val="(%1)"/>
      <w:numFmt w:val="lowerRoman"/>
      <w:start w:val="1"/>
    </w:lvl>
  </w:abstractNum>
  <w:abstractNum w:abstractNumId="200">
    <w:nsid w:val="2DB88089"/>
    <w:multiLevelType w:val="hybridMultilevel"/>
    <w:lvl w:ilvl="0">
      <w:lvlJc w:val="left"/>
      <w:lvlText w:val="%1."/>
      <w:numFmt w:val="decimal"/>
      <w:start w:val="6"/>
    </w:lvl>
  </w:abstractNum>
  <w:abstractNum w:abstractNumId="201">
    <w:nsid w:val="706B674E"/>
    <w:multiLevelType w:val="hybridMultilevel"/>
    <w:lvl w:ilvl="0">
      <w:lvlJc w:val="left"/>
      <w:lvlText w:val="%1."/>
      <w:numFmt w:val="decimal"/>
      <w:start w:val="7"/>
    </w:lvl>
  </w:abstractNum>
  <w:abstractNum w:abstractNumId="202">
    <w:nsid w:val="2C106A57"/>
    <w:multiLevelType w:val="hybridMultilevel"/>
    <w:lvl w:ilvl="0">
      <w:lvlJc w:val="left"/>
      <w:lvlText w:val="%1."/>
      <w:numFmt w:val="decimal"/>
      <w:start w:val="8"/>
    </w:lvl>
  </w:abstractNum>
  <w:abstractNum w:abstractNumId="203">
    <w:nsid w:val="684EED59"/>
    <w:multiLevelType w:val="hybridMultilevel"/>
    <w:lvl w:ilvl="0">
      <w:lvlJc w:val="left"/>
      <w:lvlText w:val="%1."/>
      <w:numFmt w:val="decimal"/>
      <w:start w:val="9"/>
    </w:lvl>
  </w:abstractNum>
  <w:abstractNum w:abstractNumId="204">
    <w:nsid w:val="545EE5D3"/>
    <w:multiLevelType w:val="hybridMultilevel"/>
    <w:lvl w:ilvl="0">
      <w:lvlJc w:val="left"/>
      <w:lvlText w:val="%1"/>
      <w:numFmt w:val="decimal"/>
      <w:start w:val="1"/>
    </w:lvl>
    <w:lvl w:ilvl="1">
      <w:lvlJc w:val="left"/>
      <w:lvlText w:val="(%2)"/>
      <w:numFmt w:val="lowerRoman"/>
      <w:start w:val="1"/>
    </w:lvl>
  </w:abstractNum>
  <w:abstractNum w:abstractNumId="205">
    <w:nsid w:val="4A66051"/>
    <w:multiLevelType w:val="hybridMultilevel"/>
    <w:lvl w:ilvl="0">
      <w:lvlJc w:val="left"/>
      <w:lvlText w:val="%1."/>
      <w:numFmt w:val="decimal"/>
      <w:start w:val="10"/>
    </w:lvl>
    <w:lvl w:ilvl="1">
      <w:lvlJc w:val="left"/>
      <w:lvlText w:val="%2"/>
      <w:numFmt w:val="lowerRoman"/>
      <w:start w:val="1"/>
    </w:lvl>
  </w:abstractNum>
  <w:abstractNum w:abstractNumId="206">
    <w:nsid w:val="20F4BDAD"/>
    <w:multiLevelType w:val="hybridMultilevel"/>
    <w:lvl w:ilvl="0">
      <w:lvlJc w:val="left"/>
      <w:lvlText w:val="%1."/>
      <w:numFmt w:val="decimal"/>
      <w:start w:val="11"/>
    </w:lvl>
  </w:abstractNum>
  <w:abstractNum w:abstractNumId="207">
    <w:nsid w:val="639DEFAC"/>
    <w:multiLevelType w:val="hybridMultilevel"/>
    <w:lvl w:ilvl="0">
      <w:lvlJc w:val="left"/>
      <w:lvlText w:val="%1."/>
      <w:numFmt w:val="decimal"/>
      <w:start w:val="12"/>
    </w:lvl>
  </w:abstractNum>
  <w:abstractNum w:abstractNumId="208">
    <w:nsid w:val="501F9786"/>
    <w:multiLevelType w:val="hybridMultilevel"/>
    <w:lvl w:ilvl="0">
      <w:lvlJc w:val="left"/>
      <w:lvlText w:val="%1."/>
      <w:numFmt w:val="decimal"/>
      <w:start w:val="13"/>
    </w:lvl>
  </w:abstractNum>
  <w:abstractNum w:abstractNumId="209">
    <w:nsid w:val="6B057295"/>
    <w:multiLevelType w:val="hybridMultilevel"/>
    <w:lvl w:ilvl="0">
      <w:lvlJc w:val="left"/>
      <w:lvlText w:val="%1."/>
      <w:numFmt w:val="decimal"/>
      <w:start w:val="14"/>
    </w:lvl>
  </w:abstractNum>
  <w:abstractNum w:abstractNumId="210">
    <w:nsid w:val="2771AC80"/>
    <w:multiLevelType w:val="hybridMultilevel"/>
    <w:lvl w:ilvl="0">
      <w:lvlJc w:val="left"/>
      <w:lvlText w:val="(%1)"/>
      <w:numFmt w:val="lowerLetter"/>
      <w:start w:val="1"/>
    </w:lvl>
  </w:abstractNum>
  <w:abstractNum w:abstractNumId="211">
    <w:nsid w:val="1C4A08EC"/>
    <w:multiLevelType w:val="hybridMultilevel"/>
    <w:lvl w:ilvl="0">
      <w:lvlJc w:val="left"/>
      <w:lvlText w:val="(%1)"/>
      <w:numFmt w:val="lowerLetter"/>
      <w:start w:val="3"/>
    </w:lvl>
  </w:abstractNum>
  <w:abstractNum w:abstractNumId="212">
    <w:nsid w:val="1958BD17"/>
    <w:multiLevelType w:val="hybridMultilevel"/>
    <w:lvl w:ilvl="0">
      <w:lvlJc w:val="left"/>
      <w:lvlText w:val="%1"/>
      <w:numFmt w:val="decimal"/>
      <w:start w:val="15"/>
    </w:lvl>
    <w:lvl w:ilvl="1">
      <w:lvlJc w:val="left"/>
      <w:lvlText w:val="(%2)"/>
      <w:numFmt w:val="lowerRoman"/>
      <w:start w:val="1"/>
    </w:lvl>
  </w:abstractNum>
  <w:abstractNum w:abstractNumId="213">
    <w:nsid w:val="4E647FE4"/>
    <w:multiLevelType w:val="hybridMultilevel"/>
    <w:lvl w:ilvl="0">
      <w:lvlJc w:val="left"/>
      <w:lvlText w:val="(%1)"/>
      <w:numFmt w:val="lowerRoman"/>
      <w:start w:val="5"/>
    </w:lvl>
  </w:abstractNum>
  <w:abstractNum w:abstractNumId="214">
    <w:nsid w:val="E0BB885"/>
    <w:multiLevelType w:val="hybridMultilevel"/>
    <w:lvl w:ilvl="0">
      <w:lvlJc w:val="left"/>
      <w:lvlText w:val="%1"/>
      <w:numFmt w:val="decimal"/>
      <w:start w:val="16"/>
    </w:lvl>
  </w:abstractNum>
  <w:abstractNum w:abstractNumId="215">
    <w:nsid w:val="565976F1"/>
    <w:multiLevelType w:val="hybridMultilevel"/>
    <w:lvl w:ilvl="0">
      <w:lvlJc w:val="left"/>
      <w:lvlText w:val="(%1)"/>
      <w:numFmt w:val="lowerRoman"/>
      <w:start w:val="2"/>
    </w:lvl>
  </w:abstractNum>
  <w:abstractNum w:abstractNumId="216">
    <w:nsid w:val="64212B8C"/>
    <w:multiLevelType w:val="hybridMultilevel"/>
    <w:lvl w:ilvl="0">
      <w:lvlJc w:val="left"/>
      <w:lvlText w:val="%1."/>
      <w:numFmt w:val="decimal"/>
      <w:start w:val="17"/>
    </w:lvl>
  </w:abstractNum>
  <w:abstractNum w:abstractNumId="217">
    <w:nsid w:val="5C17530C"/>
    <w:multiLevelType w:val="hybridMultilevel"/>
    <w:lvl w:ilvl="0">
      <w:lvlJc w:val="left"/>
      <w:lvlText w:val="%1"/>
      <w:numFmt w:val="decimal"/>
      <w:start w:val="1"/>
    </w:lvl>
    <w:lvl w:ilvl="1">
      <w:lvlJc w:val="left"/>
      <w:lvlText w:val="(%2)"/>
      <w:numFmt w:val="lowerRoman"/>
      <w:start w:val="1"/>
    </w:lvl>
  </w:abstractNum>
  <w:abstractNum w:abstractNumId="218">
    <w:nsid w:val="19A52566"/>
    <w:multiLevelType w:val="hybridMultilevel"/>
    <w:lvl w:ilvl="0">
      <w:lvlJc w:val="left"/>
      <w:lvlText w:val="%1."/>
      <w:numFmt w:val="decimal"/>
      <w:start w:val="18"/>
    </w:lvl>
    <w:lvl w:ilvl="1">
      <w:lvlJc w:val="left"/>
      <w:lvlText w:val="%2"/>
      <w:numFmt w:val="lowerRoman"/>
      <w:start w:val="1"/>
    </w:lvl>
  </w:abstractNum>
  <w:abstractNum w:abstractNumId="219">
    <w:nsid w:val="335A1DF1"/>
    <w:multiLevelType w:val="hybridMultilevel"/>
    <w:lvl w:ilvl="0">
      <w:lvlJc w:val="left"/>
      <w:lvlText w:val="(%1)"/>
      <w:numFmt w:val="lowerLetter"/>
      <w:start w:val="1"/>
    </w:lvl>
  </w:abstractNum>
  <w:abstractNum w:abstractNumId="220">
    <w:nsid w:val="28677B7C"/>
    <w:multiLevelType w:val="hybridMultilevel"/>
    <w:lvl w:ilvl="0">
      <w:lvlJc w:val="left"/>
      <w:lvlText w:val="(%1)"/>
      <w:numFmt w:val="lowerLetter"/>
      <w:start w:val="2"/>
    </w:lvl>
  </w:abstractNum>
  <w:abstractNum w:abstractNumId="221">
    <w:nsid w:val="378D97C0"/>
    <w:multiLevelType w:val="hybridMultilevel"/>
    <w:lvl w:ilvl="0">
      <w:lvlJc w:val="left"/>
      <w:lvlText w:val="(%1)"/>
      <w:numFmt w:val="decimal"/>
      <w:start w:val="1"/>
    </w:lvl>
  </w:abstractNum>
  <w:abstractNum w:abstractNumId="222">
    <w:nsid w:val="1D91467C"/>
    <w:multiLevelType w:val="hybridMultilevel"/>
    <w:lvl w:ilvl="0">
      <w:lvlJc w:val="left"/>
      <w:lvlText w:val="(%1)"/>
      <w:numFmt w:val="decimal"/>
      <w:start w:val="2"/>
    </w:lvl>
  </w:abstractNum>
  <w:abstractNum w:abstractNumId="223">
    <w:nsid w:val="316032BB"/>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2023-01-25T05:43:50Z</dcterms:created>
  <dcterms:modified xsi:type="dcterms:W3CDTF">2023-01-25T05:43:50Z</dcterms:modified>
</cp:coreProperties>
</file>